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tabs>
          <w:tab w:leader="none" w:pos="0" w:val="left"/>
        </w:tabs>
        <w:ind/>
        <w:jc w:val="left"/>
        <w:outlineLvl w:val="0"/>
        <w:rPr>
          <w:b w:val="0"/>
          <w:sz w:val="28"/>
        </w:rPr>
      </w:pPr>
      <w:r>
        <w:rPr>
          <w:sz w:val="20"/>
        </w:rPr>
        <w:t xml:space="preserve">                                                                                             </w:t>
      </w:r>
      <w:r>
        <w:rPr>
          <w:sz w:val="20"/>
        </w:rPr>
        <w:t xml:space="preserve">                                  </w:t>
      </w:r>
    </w:p>
    <w:p w14:paraId="02000000">
      <w:pPr>
        <w:ind/>
        <w:jc w:val="center"/>
        <w:rPr>
          <w:b w:val="1"/>
        </w:rPr>
      </w:pPr>
      <w:r>
        <w:rPr>
          <w:b w:val="1"/>
        </w:rPr>
        <w:t>РОССИЙСКАЯ ФЕДЕРАЦИЯ</w:t>
      </w:r>
    </w:p>
    <w:p w14:paraId="03000000">
      <w:pPr>
        <w:ind/>
        <w:jc w:val="center"/>
        <w:rPr>
          <w:b w:val="1"/>
        </w:rPr>
      </w:pPr>
      <w:r>
        <w:rPr>
          <w:b w:val="1"/>
        </w:rPr>
        <w:t>РОСТОВСКАЯ ОБЛАСТЬ</w:t>
      </w:r>
    </w:p>
    <w:p w14:paraId="04000000">
      <w:pPr>
        <w:ind/>
        <w:jc w:val="center"/>
        <w:rPr>
          <w:b w:val="1"/>
        </w:rPr>
      </w:pPr>
      <w:r>
        <w:rPr>
          <w:b w:val="1"/>
        </w:rPr>
        <w:t>МОРОЗОВСКИЙ РАЙОН</w:t>
      </w:r>
    </w:p>
    <w:p w14:paraId="05000000">
      <w:pPr>
        <w:ind/>
        <w:jc w:val="center"/>
        <w:rPr>
          <w:b w:val="1"/>
        </w:rPr>
      </w:pPr>
    </w:p>
    <w:p w14:paraId="06000000">
      <w:pPr>
        <w:ind/>
        <w:jc w:val="center"/>
        <w:rPr>
          <w:b w:val="1"/>
        </w:rPr>
      </w:pPr>
      <w:r>
        <w:rPr>
          <w:b w:val="1"/>
        </w:rPr>
        <w:t>АДМИНИСТРАЦИЯ</w:t>
      </w:r>
    </w:p>
    <w:p w14:paraId="07000000">
      <w:pPr>
        <w:ind/>
        <w:jc w:val="center"/>
        <w:rPr>
          <w:b w:val="1"/>
        </w:rPr>
      </w:pPr>
      <w:r>
        <w:rPr>
          <w:b w:val="1"/>
        </w:rPr>
        <w:t>КОСТИНО-БЫСТРЯНСКОГО СЕЛЬСКОГО ПОСЕЛЕНИЯ</w:t>
      </w:r>
    </w:p>
    <w:p w14:paraId="08000000">
      <w:pPr>
        <w:ind/>
        <w:jc w:val="center"/>
      </w:pPr>
    </w:p>
    <w:p w14:paraId="09000000">
      <w:pPr>
        <w:pStyle w:val="Style_2"/>
      </w:pPr>
    </w:p>
    <w:p w14:paraId="0A000000">
      <w:pPr>
        <w:pStyle w:val="Style_2"/>
        <w:ind/>
        <w:jc w:val="center"/>
        <w:rPr>
          <w:b w:val="1"/>
        </w:rPr>
      </w:pPr>
      <w:r>
        <w:rPr>
          <w:b w:val="1"/>
        </w:rPr>
        <w:t>РАСПОРЯЖЕНИЕ</w:t>
      </w:r>
    </w:p>
    <w:p w14:paraId="0B000000">
      <w:pPr>
        <w:pStyle w:val="Style_2"/>
        <w:ind/>
        <w:jc w:val="center"/>
      </w:pPr>
    </w:p>
    <w:p w14:paraId="0C000000">
      <w:pPr>
        <w:ind/>
        <w:jc w:val="both"/>
        <w:rPr>
          <w:sz w:val="28"/>
        </w:rPr>
      </w:pPr>
      <w:r>
        <w:rPr>
          <w:sz w:val="28"/>
        </w:rPr>
        <w:t>13 сентября</w:t>
      </w:r>
      <w:r>
        <w:rPr>
          <w:sz w:val="28"/>
        </w:rPr>
        <w:t xml:space="preserve"> </w:t>
      </w:r>
      <w:r>
        <w:rPr>
          <w:sz w:val="28"/>
        </w:rPr>
        <w:t>2023</w:t>
      </w:r>
      <w:r>
        <w:rPr>
          <w:sz w:val="28"/>
        </w:rPr>
        <w:t xml:space="preserve"> г.</w:t>
      </w:r>
      <w:r>
        <w:rPr>
          <w:sz w:val="24"/>
        </w:rPr>
        <w:t xml:space="preserve">                       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№ 27/1   </w:t>
      </w:r>
      <w:r>
        <w:rPr>
          <w:sz w:val="28"/>
        </w:rPr>
        <w:t xml:space="preserve">                    х. Костино-Быстрянский</w:t>
      </w:r>
    </w:p>
    <w:p w14:paraId="0D000000">
      <w:pPr>
        <w:ind/>
        <w:jc w:val="both"/>
        <w:rPr>
          <w:sz w:val="24"/>
        </w:rPr>
      </w:pPr>
    </w:p>
    <w:tbl>
      <w:tblPr>
        <w:tblStyle w:val="Style_3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51"/>
      </w:tblGrid>
      <w:tr>
        <w:tc>
          <w:tcPr>
            <w:tcW w:type="dxa" w:w="55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>О  включении   в   реестр   муниципального</w:t>
            </w:r>
          </w:p>
        </w:tc>
      </w:tr>
      <w:tr>
        <w:tc>
          <w:tcPr>
            <w:tcW w:type="dxa" w:w="55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имущества  Костино-Быстрянского сельского поселения  и </w:t>
            </w:r>
            <w:r>
              <w:rPr>
                <w:sz w:val="28"/>
              </w:rPr>
              <w:t xml:space="preserve"> принятии к учету в состав муниципальной </w:t>
            </w:r>
            <w:r>
              <w:rPr>
                <w:sz w:val="28"/>
              </w:rPr>
              <w:t>казны объекта недвижимого имущества</w:t>
            </w:r>
          </w:p>
        </w:tc>
      </w:tr>
      <w:tr>
        <w:tc>
          <w:tcPr>
            <w:tcW w:type="dxa" w:w="55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/>
        </w:tc>
      </w:tr>
    </w:tbl>
    <w:p w14:paraId="11000000">
      <w:pPr>
        <w:ind w:firstLine="709"/>
        <w:jc w:val="both"/>
        <w:rPr>
          <w:sz w:val="24"/>
        </w:rPr>
      </w:pPr>
    </w:p>
    <w:p w14:paraId="12000000">
      <w:pPr>
        <w:ind w:firstLine="709"/>
        <w:jc w:val="both"/>
        <w:rPr>
          <w:b w:val="0"/>
          <w:sz w:val="28"/>
        </w:rPr>
      </w:pPr>
      <w:r>
        <w:rPr>
          <w:sz w:val="28"/>
        </w:rPr>
        <w:t xml:space="preserve">В соответствии с Решением Собрания депутатов Костино-Быстрянского сельского поселения от 29.03.2018 № 60 </w:t>
      </w:r>
      <w:r>
        <w:rPr>
          <w:b w:val="0"/>
          <w:sz w:val="28"/>
        </w:rPr>
        <w:t>"</w:t>
      </w:r>
      <w:r>
        <w:rPr>
          <w:rFonts w:ascii="Times New Roman" w:hAnsi="Times New Roman"/>
          <w:b w:val="0"/>
          <w:sz w:val="28"/>
        </w:rPr>
        <w:t xml:space="preserve">Об утверждении Положения о порядке </w:t>
      </w:r>
      <w:r>
        <w:rPr>
          <w:rFonts w:ascii="Times New Roman" w:hAnsi="Times New Roman"/>
          <w:b w:val="0"/>
          <w:sz w:val="28"/>
        </w:rPr>
        <w:t xml:space="preserve">управления и распоряжения имуществом, </w:t>
      </w:r>
      <w:r>
        <w:rPr>
          <w:rFonts w:ascii="Times New Roman" w:hAnsi="Times New Roman"/>
          <w:b w:val="0"/>
          <w:sz w:val="28"/>
        </w:rPr>
        <w:t xml:space="preserve">находящимся в муниципальной собственности </w:t>
      </w:r>
      <w:r>
        <w:rPr>
          <w:rFonts w:ascii="Times New Roman" w:hAnsi="Times New Roman"/>
          <w:b w:val="0"/>
          <w:sz w:val="28"/>
        </w:rPr>
        <w:t xml:space="preserve">Костино-Быстрянского </w:t>
      </w:r>
      <w:r>
        <w:rPr>
          <w:rFonts w:ascii="Times New Roman" w:hAnsi="Times New Roman"/>
          <w:b w:val="0"/>
          <w:sz w:val="28"/>
        </w:rPr>
        <w:t>сельского поселения</w:t>
      </w:r>
      <w:r>
        <w:rPr>
          <w:sz w:val="28"/>
        </w:rPr>
        <w:t xml:space="preserve">, </w:t>
      </w:r>
      <w:r>
        <w:rPr>
          <w:sz w:val="28"/>
        </w:rPr>
        <w:t>государственной регистрацией</w:t>
      </w:r>
      <w:r>
        <w:rPr>
          <w:sz w:val="28"/>
        </w:rPr>
        <w:t xml:space="preserve"> права собственности </w:t>
      </w:r>
      <w:r>
        <w:rPr>
          <w:sz w:val="28"/>
        </w:rPr>
        <w:t>61:24:0600001:786-61/211/2023-1 от 08.09</w:t>
      </w:r>
      <w:r>
        <w:rPr>
          <w:sz w:val="28"/>
        </w:rPr>
        <w:t xml:space="preserve">.2023 </w:t>
      </w:r>
      <w:r>
        <w:rPr>
          <w:sz w:val="28"/>
        </w:rPr>
        <w:t>г.</w:t>
      </w:r>
      <w:r>
        <w:rPr>
          <w:sz w:val="28"/>
        </w:rPr>
        <w:t>,</w:t>
      </w:r>
    </w:p>
    <w:p w14:paraId="13000000">
      <w:pPr>
        <w:ind w:firstLine="709"/>
        <w:jc w:val="both"/>
        <w:rPr>
          <w:sz w:val="28"/>
        </w:rPr>
      </w:pPr>
    </w:p>
    <w:p w14:paraId="14000000">
      <w:pPr>
        <w:numPr>
          <w:numId w:val="1"/>
        </w:numPr>
        <w:ind/>
        <w:jc w:val="both"/>
        <w:rPr>
          <w:sz w:val="28"/>
        </w:rPr>
      </w:pPr>
      <w:r>
        <w:rPr>
          <w:sz w:val="28"/>
        </w:rPr>
        <w:t>В</w:t>
      </w:r>
      <w:r>
        <w:rPr>
          <w:sz w:val="28"/>
        </w:rPr>
        <w:t xml:space="preserve">ключить в реестр </w:t>
      </w:r>
      <w:r>
        <w:rPr>
          <w:sz w:val="28"/>
        </w:rPr>
        <w:t>муниципального имущества</w:t>
      </w:r>
      <w:r>
        <w:rPr>
          <w:sz w:val="28"/>
        </w:rPr>
        <w:t xml:space="preserve"> Костино-Быстрянского</w:t>
      </w:r>
    </w:p>
    <w:p w14:paraId="15000000">
      <w:pPr>
        <w:ind/>
        <w:jc w:val="both"/>
        <w:rPr>
          <w:sz w:val="28"/>
        </w:rPr>
      </w:pPr>
      <w:r>
        <w:rPr>
          <w:sz w:val="28"/>
        </w:rPr>
        <w:t xml:space="preserve">сельского поселения </w:t>
      </w:r>
      <w:r>
        <w:rPr>
          <w:sz w:val="28"/>
        </w:rPr>
        <w:t>объект</w:t>
      </w:r>
      <w:r>
        <w:rPr>
          <w:sz w:val="28"/>
        </w:rPr>
        <w:t xml:space="preserve"> </w:t>
      </w:r>
      <w:r>
        <w:rPr>
          <w:sz w:val="28"/>
        </w:rPr>
        <w:t>недвижимого имущества</w:t>
      </w:r>
      <w:r>
        <w:rPr>
          <w:sz w:val="28"/>
        </w:rPr>
        <w:t xml:space="preserve"> согласно приложению</w:t>
      </w:r>
      <w:r>
        <w:rPr>
          <w:sz w:val="28"/>
        </w:rPr>
        <w:t xml:space="preserve"> к настоящему распоряжению.</w:t>
      </w:r>
    </w:p>
    <w:p w14:paraId="16000000">
      <w:pPr>
        <w:ind/>
        <w:jc w:val="both"/>
        <w:rPr>
          <w:sz w:val="28"/>
        </w:rPr>
      </w:pPr>
    </w:p>
    <w:p w14:paraId="17000000">
      <w:pPr>
        <w:ind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2. </w:t>
      </w:r>
      <w:r>
        <w:rPr>
          <w:sz w:val="28"/>
        </w:rPr>
        <w:t xml:space="preserve">Сектору экономики и финансов </w:t>
      </w:r>
      <w:r>
        <w:rPr>
          <w:sz w:val="28"/>
        </w:rPr>
        <w:t>принять к учету объекты недвижимого имущества в состав муниципальной казны.</w:t>
      </w:r>
    </w:p>
    <w:p w14:paraId="18000000">
      <w:pPr>
        <w:ind w:firstLine="0" w:left="0"/>
        <w:contextualSpacing w:val="1"/>
        <w:jc w:val="both"/>
        <w:rPr>
          <w:sz w:val="28"/>
        </w:rPr>
      </w:pPr>
    </w:p>
    <w:p w14:paraId="19000000">
      <w:pPr>
        <w:ind/>
        <w:jc w:val="both"/>
        <w:rPr>
          <w:sz w:val="28"/>
        </w:rPr>
      </w:pPr>
      <w:r>
        <w:rPr>
          <w:sz w:val="28"/>
        </w:rPr>
        <w:t xml:space="preserve">   3</w:t>
      </w:r>
      <w:r>
        <w:rPr>
          <w:sz w:val="28"/>
        </w:rPr>
        <w:t>. Контроль за исполнением настоящего распоряжения оставляю за собой.</w:t>
      </w:r>
    </w:p>
    <w:p w14:paraId="1A000000">
      <w:pPr>
        <w:ind w:firstLine="709"/>
        <w:jc w:val="both"/>
        <w:rPr>
          <w:sz w:val="28"/>
        </w:rPr>
      </w:pPr>
    </w:p>
    <w:p w14:paraId="1B000000">
      <w:pPr>
        <w:ind w:firstLine="709"/>
        <w:jc w:val="both"/>
        <w:rPr>
          <w:sz w:val="28"/>
        </w:rPr>
      </w:pPr>
    </w:p>
    <w:p w14:paraId="1C000000">
      <w:pPr>
        <w:tabs>
          <w:tab w:leader="none" w:pos="11740" w:val="left"/>
        </w:tabs>
        <w:ind w:firstLine="142"/>
        <w:rPr>
          <w:sz w:val="28"/>
        </w:rPr>
      </w:pPr>
      <w:r>
        <w:rPr>
          <w:sz w:val="28"/>
        </w:rPr>
        <w:t xml:space="preserve">Глава </w:t>
      </w:r>
      <w:r>
        <w:rPr>
          <w:sz w:val="28"/>
        </w:rPr>
        <w:t xml:space="preserve">Администрации </w:t>
      </w:r>
    </w:p>
    <w:p w14:paraId="1D000000">
      <w:pPr>
        <w:tabs>
          <w:tab w:leader="none" w:pos="11740" w:val="left"/>
        </w:tabs>
        <w:ind w:firstLine="142"/>
        <w:rPr>
          <w:sz w:val="28"/>
        </w:rPr>
      </w:pPr>
      <w:r>
        <w:rPr>
          <w:sz w:val="28"/>
        </w:rPr>
        <w:t>Костино-Быстрянского</w:t>
      </w:r>
    </w:p>
    <w:p w14:paraId="1E000000">
      <w:pPr>
        <w:tabs>
          <w:tab w:leader="none" w:pos="11740" w:val="left"/>
        </w:tabs>
        <w:ind w:firstLine="142"/>
        <w:rPr>
          <w:sz w:val="28"/>
        </w:rPr>
      </w:pPr>
      <w:r>
        <w:rPr>
          <w:sz w:val="28"/>
        </w:rPr>
        <w:t xml:space="preserve">сельского поселения                                                              </w:t>
      </w:r>
      <w:r>
        <w:rPr>
          <w:sz w:val="28"/>
        </w:rPr>
        <w:t xml:space="preserve">             А.В. Тареев</w:t>
      </w:r>
    </w:p>
    <w:p w14:paraId="1F000000">
      <w:pPr>
        <w:tabs>
          <w:tab w:leader="none" w:pos="11740" w:val="left"/>
        </w:tabs>
        <w:ind w:firstLine="142"/>
        <w:rPr>
          <w:sz w:val="28"/>
        </w:rPr>
      </w:pPr>
    </w:p>
    <w:p w14:paraId="20000000">
      <w:pPr>
        <w:tabs>
          <w:tab w:leader="none" w:pos="11740" w:val="left"/>
        </w:tabs>
        <w:ind w:firstLine="142"/>
        <w:rPr>
          <w:sz w:val="28"/>
        </w:rPr>
      </w:pPr>
    </w:p>
    <w:p w14:paraId="21000000">
      <w:pPr>
        <w:tabs>
          <w:tab w:leader="none" w:pos="11740" w:val="left"/>
        </w:tabs>
        <w:ind w:firstLine="142"/>
        <w:rPr>
          <w:sz w:val="28"/>
        </w:rPr>
      </w:pPr>
    </w:p>
    <w:p w14:paraId="22000000">
      <w:pPr>
        <w:ind/>
        <w:jc w:val="both"/>
        <w:rPr>
          <w:b w:val="1"/>
          <w:sz w:val="28"/>
        </w:rPr>
      </w:pPr>
    </w:p>
    <w:p w14:paraId="23000000">
      <w:pPr>
        <w:sectPr>
          <w:pgSz w:h="16838" w:w="11906"/>
          <w:pgMar w:bottom="1134" w:footer="708" w:gutter="0" w:header="708" w:left="1701" w:right="850" w:top="709"/>
        </w:sectPr>
      </w:pPr>
    </w:p>
    <w:p w14:paraId="24000000">
      <w:pPr>
        <w:tabs>
          <w:tab w:leader="none" w:pos="9180" w:val="left"/>
        </w:tabs>
        <w:ind/>
        <w:jc w:val="right"/>
        <w:rPr>
          <w:sz w:val="24"/>
        </w:rPr>
      </w:pPr>
      <w:r>
        <w:rPr>
          <w:sz w:val="28"/>
        </w:rPr>
        <w:t xml:space="preserve">     </w:t>
      </w:r>
      <w:r>
        <w:rPr>
          <w:sz w:val="24"/>
        </w:rPr>
        <w:t xml:space="preserve"> Приложение</w:t>
      </w:r>
    </w:p>
    <w:p w14:paraId="25000000">
      <w:pPr>
        <w:ind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к распоряжению </w:t>
      </w:r>
    </w:p>
    <w:p w14:paraId="26000000">
      <w:pPr>
        <w:ind/>
        <w:jc w:val="right"/>
        <w:rPr>
          <w:sz w:val="24"/>
        </w:rPr>
      </w:pPr>
      <w:r>
        <w:rPr>
          <w:sz w:val="24"/>
        </w:rPr>
        <w:t xml:space="preserve">Администрации Костино-Быстрянского </w:t>
      </w:r>
    </w:p>
    <w:p w14:paraId="27000000">
      <w:pPr>
        <w:ind/>
        <w:jc w:val="right"/>
        <w:rPr>
          <w:sz w:val="24"/>
        </w:rPr>
      </w:pPr>
      <w:r>
        <w:rPr>
          <w:sz w:val="24"/>
        </w:rPr>
        <w:t xml:space="preserve">сельского поселения  </w:t>
      </w:r>
    </w:p>
    <w:p w14:paraId="28000000">
      <w:pPr>
        <w:ind/>
        <w:jc w:val="right"/>
        <w:rPr>
          <w:b w:val="1"/>
          <w:sz w:val="24"/>
        </w:rPr>
      </w:pPr>
      <w:r>
        <w:rPr>
          <w:sz w:val="24"/>
        </w:rPr>
        <w:t xml:space="preserve">  от 13 сентября</w:t>
      </w:r>
      <w:r>
        <w:rPr>
          <w:sz w:val="24"/>
        </w:rPr>
        <w:t xml:space="preserve"> 2023</w:t>
      </w:r>
      <w:r>
        <w:rPr>
          <w:sz w:val="24"/>
        </w:rPr>
        <w:t xml:space="preserve"> № </w:t>
      </w:r>
      <w:r>
        <w:rPr>
          <w:b w:val="0"/>
          <w:sz w:val="24"/>
        </w:rPr>
        <w:t xml:space="preserve">27/1 </w:t>
      </w:r>
      <w:r>
        <w:rPr>
          <w:b w:val="0"/>
          <w:sz w:val="24"/>
        </w:rPr>
        <w:t xml:space="preserve"> </w:t>
      </w:r>
      <w:r>
        <w:rPr>
          <w:b w:val="1"/>
          <w:sz w:val="24"/>
        </w:rPr>
        <w:t xml:space="preserve">                                             </w:t>
      </w:r>
    </w:p>
    <w:p w14:paraId="29000000">
      <w:pPr>
        <w:tabs>
          <w:tab w:leader="none" w:pos="5160" w:val="left"/>
        </w:tabs>
        <w:ind/>
        <w:jc w:val="both"/>
        <w:rPr>
          <w:b w:val="1"/>
          <w:sz w:val="24"/>
        </w:rPr>
      </w:pPr>
      <w:r>
        <w:rPr>
          <w:b w:val="1"/>
          <w:sz w:val="24"/>
        </w:rPr>
        <w:t xml:space="preserve">                                                                      </w:t>
      </w:r>
    </w:p>
    <w:p w14:paraId="2A000000">
      <w:pPr>
        <w:ind/>
        <w:jc w:val="center"/>
        <w:rPr>
          <w:sz w:val="28"/>
        </w:rPr>
      </w:pPr>
      <w:r>
        <w:rPr>
          <w:sz w:val="28"/>
        </w:rPr>
        <w:t>Перечень имущества</w:t>
      </w:r>
    </w:p>
    <w:p w14:paraId="2B000000">
      <w:pPr>
        <w:ind/>
        <w:jc w:val="center"/>
        <w:rPr>
          <w:sz w:val="28"/>
        </w:rPr>
      </w:pPr>
    </w:p>
    <w:tbl>
      <w:tblPr>
        <w:tblStyle w:val="Style_3"/>
        <w:tblInd w:type="dxa" w:w="-31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"/>
        <w:gridCol w:w="1884"/>
        <w:gridCol w:w="2259"/>
        <w:gridCol w:w="2557"/>
        <w:gridCol w:w="1417"/>
        <w:gridCol w:w="1808"/>
        <w:gridCol w:w="2128"/>
        <w:gridCol w:w="2268"/>
      </w:tblGrid>
      <w:tr>
        <w:trPr>
          <w:trHeight w:hRule="atLeast" w:val="1377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rPr>
                <w:sz w:val="26"/>
              </w:rPr>
            </w:pPr>
            <w:r>
              <w:rPr>
                <w:sz w:val="26"/>
              </w:rPr>
              <w:t>№ п/п</w:t>
            </w:r>
          </w:p>
        </w:tc>
        <w:tc>
          <w:tcPr>
            <w:tcW w:type="dxa" w:w="1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rPr>
                <w:sz w:val="26"/>
              </w:rPr>
            </w:pPr>
            <w:r>
              <w:rPr>
                <w:sz w:val="26"/>
              </w:rPr>
              <w:t>Наименование объекта</w:t>
            </w:r>
          </w:p>
          <w:p w14:paraId="2E000000">
            <w:pPr>
              <w:rPr>
                <w:sz w:val="28"/>
              </w:rPr>
            </w:pP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rPr>
                <w:sz w:val="26"/>
              </w:rPr>
            </w:pPr>
            <w:r>
              <w:rPr>
                <w:sz w:val="26"/>
              </w:rPr>
              <w:t>Местонахождение объекта</w:t>
            </w:r>
          </w:p>
        </w:tc>
        <w:tc>
          <w:tcPr>
            <w:tcW w:type="dxa" w:w="2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rPr>
                <w:sz w:val="26"/>
              </w:rPr>
            </w:pPr>
            <w:r>
              <w:rPr>
                <w:sz w:val="26"/>
              </w:rPr>
              <w:t>Кадастровый номер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rPr>
                <w:sz w:val="26"/>
              </w:rPr>
            </w:pPr>
            <w:r>
              <w:rPr>
                <w:sz w:val="26"/>
              </w:rPr>
              <w:t>Площадь,</w:t>
            </w:r>
          </w:p>
          <w:p w14:paraId="32000000">
            <w:pPr>
              <w:rPr>
                <w:sz w:val="26"/>
              </w:rPr>
            </w:pPr>
            <w:r>
              <w:rPr>
                <w:sz w:val="26"/>
              </w:rPr>
              <w:t>(кв. м.</w:t>
            </w:r>
            <w:r>
              <w:rPr>
                <w:sz w:val="26"/>
              </w:rPr>
              <w:t>)</w:t>
            </w:r>
          </w:p>
        </w:tc>
        <w:tc>
          <w:tcPr>
            <w:tcW w:type="dxa" w:w="1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rPr>
                <w:sz w:val="26"/>
              </w:rPr>
            </w:pPr>
            <w:r>
              <w:rPr>
                <w:sz w:val="26"/>
              </w:rPr>
              <w:t xml:space="preserve">Кадастровая стоимость (руб.) 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rPr>
                <w:sz w:val="26"/>
              </w:rPr>
            </w:pPr>
            <w:r>
              <w:rPr>
                <w:sz w:val="26"/>
              </w:rPr>
              <w:t>Основание для включения в реестр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rPr>
                <w:sz w:val="26"/>
              </w:rPr>
            </w:pPr>
            <w:r>
              <w:rPr>
                <w:sz w:val="26"/>
              </w:rPr>
              <w:t>Реквизиты документа о регистрации права</w:t>
            </w:r>
          </w:p>
        </w:tc>
      </w:tr>
      <w:tr>
        <w:trPr>
          <w:trHeight w:hRule="atLeast" w:val="1687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1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r>
              <w:t>Земельный участок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rPr>
                <w:sz w:val="24"/>
              </w:rPr>
            </w:pPr>
            <w:r>
              <w:rPr>
                <w:sz w:val="24"/>
              </w:rPr>
              <w:t>Ростовская область, р-н Морозовский, в границах землепользования реорганизованного с/х предприятия – колхоз "Ленинское знамя"</w:t>
            </w:r>
          </w:p>
        </w:tc>
        <w:tc>
          <w:tcPr>
            <w:tcW w:type="dxa" w:w="2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rPr>
                <w:sz w:val="24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61:24:</w:t>
            </w:r>
            <w:r>
              <w:rPr>
                <w:sz w:val="24"/>
              </w:rPr>
              <w:t>0600001:786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rPr>
                <w:sz w:val="24"/>
              </w:rPr>
            </w:pPr>
            <w:r>
              <w:rPr>
                <w:sz w:val="24"/>
              </w:rPr>
              <w:t>532000</w:t>
            </w:r>
          </w:p>
        </w:tc>
        <w:tc>
          <w:tcPr>
            <w:tcW w:type="dxa" w:w="1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r>
              <w:t>3217190,12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rPr>
                <w:sz w:val="24"/>
              </w:rPr>
            </w:pPr>
            <w:r>
              <w:rPr>
                <w:sz w:val="24"/>
              </w:rPr>
              <w:t>Регистрация права собственности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r>
              <w:t>Выписка из ЕГРН об основных характеристиках и зарегистрированных правах на объект  недвижимости 61:24:0600001:786-61/211/2023-1         08.09.2023</w:t>
            </w:r>
          </w:p>
        </w:tc>
      </w:tr>
    </w:tbl>
    <w:p w14:paraId="3E000000">
      <w:pPr>
        <w:rPr>
          <w:sz w:val="28"/>
        </w:rPr>
      </w:pPr>
    </w:p>
    <w:p w14:paraId="3F000000">
      <w:pPr>
        <w:rPr>
          <w:sz w:val="28"/>
        </w:rPr>
      </w:pPr>
      <w:r>
        <w:rPr>
          <w:sz w:val="28"/>
        </w:rPr>
        <w:t xml:space="preserve">  </w:t>
      </w:r>
    </w:p>
    <w:sectPr>
      <w:pgSz w:h="11906" w:w="16838"/>
      <w:pgMar w:bottom="851" w:footer="709" w:gutter="0" w:header="709" w:left="1134" w:right="1134" w:top="170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4" w:type="paragraph">
    <w:name w:val="toc 2"/>
    <w:next w:val="Style_2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toc 4"/>
    <w:next w:val="Style_2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toc 6"/>
    <w:next w:val="Style_2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2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heading 3"/>
    <w:next w:val="Style_2"/>
    <w:link w:val="Style_8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8_ch" w:type="character">
    <w:name w:val="heading 3"/>
    <w:link w:val="Style_8"/>
    <w:rPr>
      <w:rFonts w:ascii="XO Thames" w:hAnsi="XO Thames"/>
      <w:b w:val="1"/>
      <w:i w:val="1"/>
      <w:color w:val="000000"/>
    </w:rPr>
  </w:style>
  <w:style w:styleId="Style_9" w:type="paragraph">
    <w:name w:val="toc 3"/>
    <w:next w:val="Style_2"/>
    <w:link w:val="Style_9_ch"/>
    <w:uiPriority w:val="39"/>
    <w:pPr>
      <w:ind w:firstLine="0" w:left="400"/>
    </w:pPr>
  </w:style>
  <w:style w:styleId="Style_9_ch" w:type="character">
    <w:name w:val="toc 3"/>
    <w:link w:val="Style_9"/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0_ch" w:type="character">
    <w:name w:val="heading 5"/>
    <w:link w:val="Style_10"/>
    <w:rPr>
      <w:rFonts w:ascii="XO Thames" w:hAnsi="XO Thames"/>
      <w:b w:val="1"/>
      <w:color w:val="000000"/>
      <w:sz w:val="22"/>
    </w:rPr>
  </w:style>
  <w:style w:styleId="Style_11" w:type="paragraph">
    <w:name w:val="heading 1"/>
    <w:basedOn w:val="Style_2"/>
    <w:next w:val="Style_2"/>
    <w:link w:val="Style_11_ch"/>
    <w:uiPriority w:val="9"/>
    <w:qFormat/>
    <w:pPr>
      <w:keepNext w:val="1"/>
      <w:ind/>
      <w:jc w:val="center"/>
      <w:outlineLvl w:val="0"/>
    </w:pPr>
    <w:rPr>
      <w:sz w:val="44"/>
    </w:rPr>
  </w:style>
  <w:style w:styleId="Style_11_ch" w:type="character">
    <w:name w:val="heading 1"/>
    <w:basedOn w:val="Style_2_ch"/>
    <w:link w:val="Style_11"/>
    <w:rPr>
      <w:sz w:val="44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/>
      <w:jc w:val="left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</w:pPr>
    <w:rPr>
      <w:rFonts w:ascii="XO Thames" w:hAnsi="XO Thames"/>
      <w:b w:val="1"/>
    </w:rPr>
  </w:style>
  <w:style w:styleId="Style_14_ch" w:type="character">
    <w:name w:val="toc 1"/>
    <w:link w:val="Style_14"/>
    <w:rPr>
      <w:rFonts w:ascii="XO Thames" w:hAnsi="XO Thames"/>
      <w:b w:val="1"/>
    </w:rPr>
  </w:style>
  <w:style w:styleId="Style_15" w:type="paragraph">
    <w:name w:val="Header and Footer"/>
    <w:link w:val="Style_15_ch"/>
    <w:pPr>
      <w:spacing w:line="360" w:lineRule="auto"/>
      <w:ind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</w:pPr>
  </w:style>
  <w:style w:styleId="Style_16_ch" w:type="character">
    <w:name w:val="toc 9"/>
    <w:link w:val="Style_16"/>
  </w:style>
  <w:style w:styleId="Style_17" w:type="paragraph">
    <w:name w:val="toc 8"/>
    <w:next w:val="Style_2"/>
    <w:link w:val="Style_17_ch"/>
    <w:uiPriority w:val="39"/>
    <w:pPr>
      <w:ind w:firstLine="0" w:left="1400"/>
    </w:pPr>
  </w:style>
  <w:style w:styleId="Style_17_ch" w:type="character">
    <w:name w:val="toc 8"/>
    <w:link w:val="Style_17"/>
  </w:style>
  <w:style w:styleId="Style_18" w:type="paragraph">
    <w:name w:val="toc 5"/>
    <w:next w:val="Style_2"/>
    <w:link w:val="Style_18_ch"/>
    <w:uiPriority w:val="39"/>
    <w:pPr>
      <w:ind w:firstLine="0" w:left="800"/>
    </w:pPr>
  </w:style>
  <w:style w:styleId="Style_18_ch" w:type="character">
    <w:name w:val="toc 5"/>
    <w:link w:val="Style_18"/>
  </w:style>
  <w:style w:styleId="Style_19" w:type="paragraph">
    <w:name w:val="Balloon Text"/>
    <w:basedOn w:val="Style_2"/>
    <w:link w:val="Style_19_ch"/>
    <w:rPr>
      <w:rFonts w:ascii="Tahoma" w:hAnsi="Tahoma"/>
      <w:sz w:val="16"/>
    </w:rPr>
  </w:style>
  <w:style w:styleId="Style_19_ch" w:type="character">
    <w:name w:val="Balloon Text"/>
    <w:basedOn w:val="Style_2_ch"/>
    <w:link w:val="Style_19"/>
    <w:rPr>
      <w:rFonts w:ascii="Tahoma" w:hAnsi="Tahoma"/>
      <w:sz w:val="16"/>
    </w:rPr>
  </w:style>
  <w:style w:styleId="Style_20" w:type="paragraph">
    <w:name w:val="List Paragraph"/>
    <w:basedOn w:val="Style_2"/>
    <w:link w:val="Style_20_ch"/>
    <w:pPr>
      <w:ind w:firstLine="0" w:left="720"/>
      <w:contextualSpacing w:val="1"/>
    </w:pPr>
  </w:style>
  <w:style w:styleId="Style_20_ch" w:type="character">
    <w:name w:val="List Paragraph"/>
    <w:basedOn w:val="Style_2_ch"/>
    <w:link w:val="Style_20"/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Subtitle"/>
    <w:next w:val="Style_2"/>
    <w:link w:val="Style_22_ch"/>
    <w:uiPriority w:val="11"/>
    <w:qFormat/>
    <w:rPr>
      <w:rFonts w:ascii="XO Thames" w:hAnsi="XO Thames"/>
      <w:i w:val="1"/>
      <w:color w:val="616161"/>
      <w:sz w:val="24"/>
    </w:rPr>
  </w:style>
  <w:style w:styleId="Style_22_ch" w:type="character">
    <w:name w:val="Subtitle"/>
    <w:link w:val="Style_22"/>
    <w:rPr>
      <w:rFonts w:ascii="XO Thames" w:hAnsi="XO Thames"/>
      <w:i w:val="1"/>
      <w:color w:val="616161"/>
      <w:sz w:val="24"/>
    </w:rPr>
  </w:style>
  <w:style w:styleId="Style_23" w:type="paragraph">
    <w:name w:val="toc 10"/>
    <w:next w:val="Style_2"/>
    <w:link w:val="Style_23_ch"/>
    <w:uiPriority w:val="39"/>
    <w:pPr>
      <w:ind w:firstLine="0" w:left="1800"/>
    </w:pPr>
  </w:style>
  <w:style w:styleId="Style_23_ch" w:type="character">
    <w:name w:val="toc 10"/>
    <w:link w:val="Style_23"/>
  </w:style>
  <w:style w:styleId="Style_1" w:type="paragraph">
    <w:name w:val="Title"/>
    <w:basedOn w:val="Style_2"/>
    <w:link w:val="Style_1_ch"/>
    <w:uiPriority w:val="10"/>
    <w:qFormat/>
    <w:pPr>
      <w:ind/>
      <w:jc w:val="center"/>
    </w:pPr>
    <w:rPr>
      <w:b w:val="1"/>
      <w:sz w:val="40"/>
    </w:rPr>
  </w:style>
  <w:style w:styleId="Style_1_ch" w:type="character">
    <w:name w:val="Title"/>
    <w:basedOn w:val="Style_2_ch"/>
    <w:link w:val="Style_1"/>
    <w:rPr>
      <w:b w:val="1"/>
      <w:sz w:val="40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4_ch" w:type="character">
    <w:name w:val="heading 4"/>
    <w:link w:val="Style_24"/>
    <w:rPr>
      <w:rFonts w:ascii="XO Thames" w:hAnsi="XO Thames"/>
      <w:b w:val="1"/>
      <w:color w:val="595959"/>
      <w:sz w:val="26"/>
    </w:rPr>
  </w:style>
  <w:style w:styleId="Style_25" w:type="paragraph">
    <w:name w:val="heading 2"/>
    <w:next w:val="Style_2"/>
    <w:link w:val="Style_25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5_ch" w:type="character">
    <w:name w:val="heading 2"/>
    <w:link w:val="Style_25"/>
    <w:rPr>
      <w:rFonts w:ascii="XO Thames" w:hAnsi="XO Thames"/>
      <w:b w:val="1"/>
      <w:color w:val="00A0FF"/>
      <w:sz w:val="26"/>
    </w:rPr>
  </w:style>
  <w:style w:styleId="Style_26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2024-10-16T12:04:40Z</dcterms:modified>
</cp:coreProperties>
</file>