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right"/>
        <w:rPr>
          <w:b w:val="1"/>
          <w:sz w:val="24"/>
        </w:rPr>
      </w:pPr>
    </w:p>
    <w:p w14:paraId="02000000">
      <w:pPr>
        <w:ind/>
        <w:jc w:val="center"/>
        <w:rPr>
          <w:sz w:val="24"/>
        </w:rPr>
      </w:pPr>
      <w:r>
        <w:rPr>
          <w:sz w:val="24"/>
        </w:rPr>
        <w:t>РОССИЙСКАЯ ФЕДЕРАЦИЯ</w:t>
      </w:r>
    </w:p>
    <w:p w14:paraId="03000000">
      <w:pPr>
        <w:ind/>
        <w:jc w:val="center"/>
        <w:rPr>
          <w:sz w:val="24"/>
        </w:rPr>
      </w:pPr>
      <w:r>
        <w:rPr>
          <w:sz w:val="24"/>
        </w:rPr>
        <w:t>РОСТОВСКАЯ ОБЛАСТЬ</w:t>
      </w:r>
    </w:p>
    <w:p w14:paraId="04000000">
      <w:pPr>
        <w:ind/>
        <w:jc w:val="center"/>
        <w:rPr>
          <w:sz w:val="24"/>
        </w:rPr>
      </w:pPr>
      <w:r>
        <w:rPr>
          <w:sz w:val="24"/>
        </w:rPr>
        <w:t>МОРОЗОВСКИЙ РАЙОН</w:t>
      </w:r>
    </w:p>
    <w:p w14:paraId="05000000">
      <w:pPr>
        <w:ind/>
        <w:jc w:val="center"/>
        <w:rPr>
          <w:sz w:val="24"/>
        </w:rPr>
      </w:pPr>
      <w:r>
        <w:rPr>
          <w:sz w:val="24"/>
        </w:rPr>
        <w:t xml:space="preserve">СОБРАНИЕ ДЕПУТАТОВ </w:t>
      </w:r>
    </w:p>
    <w:p w14:paraId="06000000">
      <w:pPr>
        <w:ind/>
        <w:jc w:val="center"/>
        <w:rPr>
          <w:sz w:val="24"/>
        </w:rPr>
      </w:pPr>
      <w:r>
        <w:rPr>
          <w:sz w:val="24"/>
        </w:rPr>
        <w:t>КОСТИНО-БЫСТРЯНСКОГО</w:t>
      </w:r>
    </w:p>
    <w:p w14:paraId="07000000">
      <w:pPr>
        <w:ind/>
        <w:jc w:val="center"/>
        <w:rPr>
          <w:sz w:val="24"/>
        </w:rPr>
      </w:pPr>
      <w:r>
        <w:rPr>
          <w:sz w:val="24"/>
        </w:rPr>
        <w:t>СЕЛЬСКОГО ПОСЕЛЕНИЯ</w:t>
      </w:r>
    </w:p>
    <w:p w14:paraId="08000000">
      <w:pPr>
        <w:ind/>
        <w:jc w:val="center"/>
        <w:rPr>
          <w:sz w:val="24"/>
        </w:rPr>
      </w:pPr>
    </w:p>
    <w:p w14:paraId="09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РЕШЕНИЕ</w:t>
      </w:r>
    </w:p>
    <w:p w14:paraId="0A000000">
      <w:pPr>
        <w:ind/>
        <w:jc w:val="center"/>
        <w:rPr>
          <w:b w:val="1"/>
          <w:sz w:val="24"/>
        </w:rPr>
      </w:pPr>
    </w:p>
    <w:tbl>
      <w:tblPr>
        <w:tblStyle w:val="Style_1"/>
        <w:tblLayout w:type="fixed"/>
      </w:tblPr>
      <w:tblGrid>
        <w:gridCol w:w="3208"/>
        <w:gridCol w:w="3560"/>
        <w:gridCol w:w="3177"/>
      </w:tblGrid>
      <w:tr>
        <w:tc>
          <w:tcPr>
            <w:tcW w:type="dxa" w:w="3208"/>
          </w:tcPr>
          <w:p w14:paraId="0B00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«14</w:t>
            </w:r>
            <w:r>
              <w:rPr>
                <w:b w:val="1"/>
                <w:sz w:val="28"/>
              </w:rPr>
              <w:t>» ноября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b w:val="1"/>
                <w:sz w:val="28"/>
              </w:rPr>
              <w:t>2023</w:t>
            </w:r>
            <w:r>
              <w:rPr>
                <w:b w:val="1"/>
                <w:sz w:val="28"/>
              </w:rPr>
              <w:t>г.</w:t>
            </w:r>
          </w:p>
        </w:tc>
        <w:tc>
          <w:tcPr>
            <w:tcW w:type="dxa" w:w="3560"/>
          </w:tcPr>
          <w:p w14:paraId="0C000000">
            <w:pPr>
              <w:tabs>
                <w:tab w:leader="none" w:pos="4005" w:val="left"/>
              </w:tabs>
              <w:ind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х.Костино-Быстрянский</w:t>
            </w:r>
          </w:p>
          <w:p w14:paraId="0D00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3177"/>
          </w:tcPr>
          <w:p w14:paraId="0E000000">
            <w:pPr>
              <w:tabs>
                <w:tab w:leader="none" w:pos="1480" w:val="center"/>
                <w:tab w:leader="none" w:pos="2961" w:val="right"/>
              </w:tabs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ab/>
            </w:r>
            <w:r>
              <w:rPr>
                <w:b w:val="1"/>
                <w:sz w:val="24"/>
              </w:rPr>
              <w:t xml:space="preserve">    </w:t>
            </w:r>
            <w:r>
              <w:rPr>
                <w:b w:val="1"/>
                <w:sz w:val="24"/>
              </w:rPr>
              <w:t>№73</w:t>
            </w:r>
            <w:r>
              <w:rPr>
                <w:b w:val="1"/>
                <w:sz w:val="24"/>
              </w:rPr>
              <w:t xml:space="preserve"> </w:t>
            </w:r>
          </w:p>
        </w:tc>
      </w:tr>
    </w:tbl>
    <w:p w14:paraId="0F000000">
      <w:pPr>
        <w:tabs>
          <w:tab w:leader="none" w:pos="4005" w:val="left"/>
        </w:tabs>
        <w:ind/>
        <w:jc w:val="both"/>
        <w:rPr>
          <w:sz w:val="24"/>
        </w:rPr>
      </w:pPr>
      <w:r>
        <w:rPr>
          <w:sz w:val="24"/>
        </w:rPr>
        <w:t xml:space="preserve">          </w:t>
      </w:r>
    </w:p>
    <w:p w14:paraId="10000000">
      <w:pPr>
        <w:tabs>
          <w:tab w:leader="none" w:pos="4005" w:val="left"/>
        </w:tabs>
        <w:ind/>
        <w:jc w:val="both"/>
        <w:rPr>
          <w:sz w:val="28"/>
        </w:rPr>
      </w:pPr>
      <w:r>
        <w:rPr>
          <w:sz w:val="28"/>
        </w:rPr>
        <w:t xml:space="preserve">О внесении изменений в решение </w:t>
      </w:r>
    </w:p>
    <w:p w14:paraId="11000000">
      <w:pPr>
        <w:tabs>
          <w:tab w:leader="none" w:pos="4005" w:val="left"/>
        </w:tabs>
        <w:ind/>
        <w:jc w:val="both"/>
        <w:rPr>
          <w:sz w:val="28"/>
        </w:rPr>
      </w:pPr>
      <w:r>
        <w:rPr>
          <w:sz w:val="28"/>
        </w:rPr>
        <w:t>о</w:t>
      </w:r>
      <w:r>
        <w:rPr>
          <w:sz w:val="28"/>
        </w:rPr>
        <w:t>т 26.11.2018 №</w:t>
      </w:r>
      <w:r>
        <w:rPr>
          <w:sz w:val="28"/>
        </w:rPr>
        <w:t>7</w:t>
      </w:r>
      <w:r>
        <w:rPr>
          <w:sz w:val="28"/>
        </w:rPr>
        <w:t>8</w:t>
      </w:r>
      <w:r>
        <w:rPr>
          <w:sz w:val="28"/>
        </w:rPr>
        <w:t xml:space="preserve"> «</w:t>
      </w:r>
      <w:r>
        <w:rPr>
          <w:sz w:val="28"/>
        </w:rPr>
        <w:t>О земельном налоге</w:t>
      </w:r>
      <w:r>
        <w:rPr>
          <w:sz w:val="28"/>
        </w:rPr>
        <w:t>»</w:t>
      </w:r>
      <w:r>
        <w:rPr>
          <w:sz w:val="28"/>
        </w:rPr>
        <w:t xml:space="preserve"> </w:t>
      </w:r>
    </w:p>
    <w:p w14:paraId="12000000">
      <w:pPr>
        <w:rPr>
          <w:sz w:val="28"/>
        </w:rPr>
      </w:pPr>
    </w:p>
    <w:p w14:paraId="13000000">
      <w:pPr>
        <w:ind w:firstLine="811"/>
        <w:jc w:val="both"/>
        <w:rPr>
          <w:sz w:val="28"/>
        </w:rPr>
      </w:pPr>
      <w:r>
        <w:rPr>
          <w:rStyle w:val="Style_2_ch"/>
          <w:rFonts w:ascii="Times New Roman" w:hAnsi="Times New Roman"/>
          <w:sz w:val="28"/>
        </w:rPr>
        <w:t>В соответствии с</w:t>
      </w:r>
      <w:r>
        <w:rPr>
          <w:sz w:val="28"/>
        </w:rPr>
        <w:t xml:space="preserve"> главой 31 части 2 Налогового кодекса Российской Федерации, руководствуясь уставом Костино-Быстрянского сельского поселения, </w:t>
      </w:r>
      <w:r>
        <w:rPr>
          <w:sz w:val="28"/>
        </w:rPr>
        <w:t>Собрание депутатов</w:t>
      </w:r>
      <w:r>
        <w:rPr>
          <w:sz w:val="28"/>
        </w:rPr>
        <w:t xml:space="preserve"> </w:t>
      </w:r>
      <w:r>
        <w:rPr>
          <w:sz w:val="28"/>
        </w:rPr>
        <w:t>Костино-Быстрянского</w:t>
      </w:r>
      <w:r>
        <w:rPr>
          <w:sz w:val="28"/>
        </w:rPr>
        <w:t xml:space="preserve"> сельского поселения</w:t>
      </w:r>
    </w:p>
    <w:p w14:paraId="14000000">
      <w:pPr>
        <w:ind w:firstLine="811"/>
        <w:jc w:val="both"/>
        <w:rPr>
          <w:sz w:val="28"/>
        </w:rPr>
      </w:pPr>
    </w:p>
    <w:p w14:paraId="15000000">
      <w:pPr>
        <w:ind w:firstLine="811"/>
        <w:jc w:val="center"/>
        <w:rPr>
          <w:sz w:val="28"/>
        </w:rPr>
      </w:pPr>
      <w:r>
        <w:rPr>
          <w:b w:val="1"/>
          <w:sz w:val="28"/>
        </w:rPr>
        <w:t>РЕШИЛО:</w:t>
      </w:r>
    </w:p>
    <w:p w14:paraId="16000000">
      <w:pPr>
        <w:ind w:firstLine="811"/>
        <w:jc w:val="both"/>
        <w:rPr>
          <w:sz w:val="28"/>
        </w:rPr>
      </w:pPr>
    </w:p>
    <w:p w14:paraId="17000000">
      <w:pPr>
        <w:ind w:firstLine="811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Внести в Решение Собрания депутатов Костино-Быстр</w:t>
      </w:r>
      <w:r>
        <w:rPr>
          <w:sz w:val="28"/>
        </w:rPr>
        <w:t>янского сельского поселения от 26.11.2018г. №</w:t>
      </w:r>
      <w:r>
        <w:rPr>
          <w:sz w:val="28"/>
        </w:rPr>
        <w:t>7</w:t>
      </w:r>
      <w:r>
        <w:rPr>
          <w:sz w:val="28"/>
        </w:rPr>
        <w:t>8</w:t>
      </w:r>
      <w:r>
        <w:rPr>
          <w:sz w:val="28"/>
        </w:rPr>
        <w:t xml:space="preserve"> «О земельном налоге» следующие изменения:</w:t>
      </w:r>
      <w:r>
        <w:rPr>
          <w:sz w:val="28"/>
        </w:rPr>
        <w:t xml:space="preserve"> </w:t>
      </w:r>
    </w:p>
    <w:p w14:paraId="18000000">
      <w:pPr>
        <w:ind w:firstLine="811"/>
        <w:jc w:val="both"/>
        <w:rPr>
          <w:sz w:val="24"/>
        </w:rPr>
      </w:pPr>
      <w:r>
        <w:rPr>
          <w:sz w:val="24"/>
        </w:rPr>
        <w:t xml:space="preserve">1) </w:t>
      </w:r>
      <w:r>
        <w:rPr>
          <w:rFonts w:ascii="Times New Roman CYR" w:hAnsi="Times New Roman CYR"/>
          <w:sz w:val="28"/>
        </w:rPr>
        <w:t xml:space="preserve"> Абзац второй подпункта 1 пункта 2 изложить в следующей редакции:</w:t>
      </w:r>
    </w:p>
    <w:p w14:paraId="19000000">
      <w:pPr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« </w:t>
      </w:r>
      <w:r>
        <w:rPr>
          <w:rFonts w:ascii="Times New Roman CYR" w:hAnsi="Times New Roman CYR"/>
          <w:sz w:val="28"/>
        </w:rPr>
        <w:t xml:space="preserve">занятых жилищным фондом и </w:t>
      </w:r>
      <w:r>
        <w:rPr>
          <w:rFonts w:ascii="Times New Roman CYR" w:hAnsi="Times New Roman CYR"/>
          <w:sz w:val="28"/>
        </w:rPr>
        <w:t>(</w:t>
      </w:r>
      <w:r>
        <w:rPr>
          <w:rFonts w:ascii="Times New Roman CYR" w:hAnsi="Times New Roman CYR"/>
          <w:sz w:val="28"/>
        </w:rPr>
        <w:t>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>
        <w:rPr>
          <w:rFonts w:ascii="Times New Roman CYR" w:hAnsi="Times New Roman CYR"/>
          <w:sz w:val="28"/>
        </w:rPr>
        <w:t>;</w:t>
      </w:r>
      <w:r>
        <w:rPr>
          <w:rFonts w:ascii="Times New Roman CYR" w:hAnsi="Times New Roman CYR"/>
          <w:sz w:val="28"/>
        </w:rPr>
        <w:t>»</w:t>
      </w:r>
    </w:p>
    <w:p w14:paraId="1A000000">
      <w:pPr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2) </w:t>
      </w:r>
      <w:r>
        <w:rPr>
          <w:rFonts w:ascii="Times New Roman CYR" w:hAnsi="Times New Roman CYR"/>
          <w:sz w:val="28"/>
        </w:rPr>
        <w:t>Пункт 3.2.  изложить в следующей редакции:</w:t>
      </w:r>
    </w:p>
    <w:p w14:paraId="1B000000">
      <w:pPr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«3.2. </w:t>
      </w:r>
      <w:r>
        <w:rPr>
          <w:sz w:val="28"/>
        </w:rPr>
        <w:t xml:space="preserve">От уплаты земельного налога освобождаются </w:t>
      </w:r>
      <w:r>
        <w:rPr>
          <w:rFonts w:ascii="Times New Roman CYR" w:hAnsi="Times New Roman CYR"/>
          <w:sz w:val="28"/>
        </w:rPr>
        <w:t xml:space="preserve"> граждане, призванные на военную службу по мобилизации в Вооруженные Силы Российской Федерации, граждане, заключившие в связи с участием в специальной военной операции контракт о прохождении военной службы или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а также их супруга (супруг), несовершеннолетние дети, родители (усыновители).</w:t>
      </w:r>
    </w:p>
    <w:p w14:paraId="1C000000">
      <w:pPr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Основанием для предоставления льготы является - справка войсковой части, военного комиссариата или органа, выполняющего функции военного комиссариата, о призыве гражданина на военную службу по мобилизации в Вооруженные Силы Российской Федерации, о заключении контракта о прохождении военной службы или контракта о пребывании в добровольческом фо</w:t>
      </w:r>
      <w:r>
        <w:rPr>
          <w:rFonts w:ascii="Times New Roman CYR" w:hAnsi="Times New Roman CYR"/>
          <w:sz w:val="28"/>
        </w:rPr>
        <w:t>рмировании (о добровольном содействии в выполнении задач, возложенных на Вооруженные Силы Российской Федерации), копия свидетельства о заключении брака (для супруги (супруга), копия свидетельства о рождении ребенка, при необходимости - также копия свидетельства об установлении отцовства (для несовершеннолетних детей), копия свидетельства о рождении гражданина, призванного на военную службу по мобилизации в Вооруженные Силы Российской Федерации, гражданина, заключившего в связи с участием в специальной военной операции контракт о прохождении военной службы или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 (для родителей (усыновителей), копия акта об усыновлении (для усыновителей).</w:t>
      </w:r>
    </w:p>
    <w:p w14:paraId="1D000000">
      <w:pPr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Гражданам, призванным на военную службу по мобилизации в Вооруженные Силы Российской Федерации, льгота предоставляется в беззаявительном порядке.».</w:t>
      </w:r>
    </w:p>
    <w:p w14:paraId="1E000000">
      <w:pPr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2. </w:t>
      </w:r>
      <w:r>
        <w:rPr>
          <w:sz w:val="28"/>
        </w:rPr>
        <w:t xml:space="preserve"> </w:t>
      </w:r>
      <w:r>
        <w:rPr>
          <w:sz w:val="28"/>
        </w:rPr>
        <w:t xml:space="preserve">Настоящее решение вступает в силу не ранее чем по истечении одного месяца со дня его </w:t>
      </w:r>
      <w:r>
        <w:rPr>
          <w:sz w:val="28"/>
        </w:rPr>
        <w:t xml:space="preserve">официального опубликования </w:t>
      </w:r>
      <w:r>
        <w:rPr>
          <w:sz w:val="28"/>
        </w:rPr>
        <w:t>и не ранее 1 января 202</w:t>
      </w:r>
      <w:r>
        <w:rPr>
          <w:sz w:val="28"/>
        </w:rPr>
        <w:t>4</w:t>
      </w:r>
      <w:r>
        <w:rPr>
          <w:sz w:val="28"/>
        </w:rPr>
        <w:t xml:space="preserve"> года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за исключением </w:t>
      </w:r>
      <w:r>
        <w:rPr>
          <w:sz w:val="28"/>
        </w:rPr>
        <w:t xml:space="preserve">подпункта 2 </w:t>
      </w:r>
      <w:r>
        <w:rPr>
          <w:sz w:val="28"/>
        </w:rPr>
        <w:t xml:space="preserve">пункта </w:t>
      </w:r>
      <w:r>
        <w:rPr>
          <w:sz w:val="28"/>
        </w:rPr>
        <w:t>1</w:t>
      </w:r>
      <w:r>
        <w:rPr>
          <w:sz w:val="28"/>
        </w:rPr>
        <w:t>.</w:t>
      </w:r>
    </w:p>
    <w:p w14:paraId="1F000000">
      <w:pPr>
        <w:ind w:firstLine="709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sz w:val="28"/>
        </w:rPr>
        <w:t xml:space="preserve">Положения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"consultantplus://offline/ref=03FD20CA60B082CC30F8295726F09CA880FB8444AF79D8AD26069CEFC8EAFFF673DDFD7F686EED1EDBC8A757C5EEDE5C9D3990704059A7C528799B37I8rBP"</w:instrText>
      </w:r>
      <w:r>
        <w:rPr>
          <w:sz w:val="28"/>
        </w:rPr>
        <w:fldChar w:fldCharType="separate"/>
      </w:r>
      <w:r>
        <w:rPr>
          <w:sz w:val="28"/>
        </w:rPr>
        <w:t xml:space="preserve">подпункта 2 </w:t>
      </w:r>
      <w:r>
        <w:rPr>
          <w:sz w:val="28"/>
        </w:rPr>
        <w:t xml:space="preserve">пункта </w:t>
      </w:r>
      <w:r>
        <w:rPr>
          <w:sz w:val="28"/>
        </w:rPr>
        <w:t>1</w:t>
      </w:r>
      <w:r>
        <w:rPr>
          <w:sz w:val="28"/>
        </w:rPr>
        <w:t xml:space="preserve"> настоящего </w:t>
      </w:r>
      <w:r>
        <w:rPr>
          <w:sz w:val="28"/>
        </w:rPr>
        <w:fldChar w:fldCharType="end"/>
      </w:r>
      <w:r>
        <w:rPr>
          <w:sz w:val="28"/>
        </w:rPr>
        <w:t xml:space="preserve">решения </w:t>
      </w:r>
      <w:r>
        <w:rPr>
          <w:sz w:val="28"/>
        </w:rPr>
        <w:t xml:space="preserve">вступают в силу с момента </w:t>
      </w:r>
      <w:r>
        <w:rPr>
          <w:sz w:val="28"/>
        </w:rPr>
        <w:t>официального опубликования</w:t>
      </w:r>
      <w:r>
        <w:rPr>
          <w:sz w:val="28"/>
        </w:rPr>
        <w:t xml:space="preserve"> </w:t>
      </w:r>
      <w:r>
        <w:rPr>
          <w:sz w:val="28"/>
        </w:rPr>
        <w:t xml:space="preserve">и </w:t>
      </w:r>
      <w:r>
        <w:rPr>
          <w:sz w:val="28"/>
        </w:rPr>
        <w:t>применяются к правоотношениям, связанным с уплатой земельного налога за налоговые периоды 2021</w:t>
      </w:r>
      <w:r>
        <w:rPr>
          <w:sz w:val="28"/>
        </w:rPr>
        <w:t>,</w:t>
      </w:r>
      <w:r>
        <w:rPr>
          <w:sz w:val="28"/>
        </w:rPr>
        <w:t xml:space="preserve"> 2022</w:t>
      </w:r>
      <w:r>
        <w:rPr>
          <w:sz w:val="28"/>
        </w:rPr>
        <w:t xml:space="preserve"> и 2023</w:t>
      </w:r>
      <w:r>
        <w:rPr>
          <w:sz w:val="28"/>
        </w:rPr>
        <w:t xml:space="preserve"> годов.</w:t>
      </w:r>
    </w:p>
    <w:p w14:paraId="20000000">
      <w:pPr>
        <w:widowControl w:val="0"/>
        <w:tabs>
          <w:tab w:leader="none" w:pos="1224" w:val="left"/>
        </w:tabs>
        <w:ind w:firstLine="850"/>
        <w:jc w:val="both"/>
        <w:rPr>
          <w:spacing w:val="-26"/>
          <w:sz w:val="28"/>
        </w:rPr>
      </w:pPr>
      <w:r>
        <w:rPr>
          <w:sz w:val="28"/>
        </w:rPr>
        <w:t>4.</w:t>
      </w:r>
      <w:r>
        <w:rPr>
          <w:sz w:val="28"/>
        </w:rPr>
        <w:t xml:space="preserve"> </w:t>
      </w:r>
      <w:r>
        <w:rPr>
          <w:sz w:val="28"/>
        </w:rPr>
        <w:t>Контроль за исполнением настоящего решения возложить на постоянную комиссию Костино-Быстрянского сельского поселения по бюджету, налогам и собственности.</w:t>
      </w:r>
    </w:p>
    <w:p w14:paraId="21000000">
      <w:pPr>
        <w:ind/>
        <w:jc w:val="both"/>
        <w:rPr>
          <w:sz w:val="28"/>
        </w:rPr>
      </w:pPr>
    </w:p>
    <w:p w14:paraId="22000000">
      <w:pPr>
        <w:rPr>
          <w:sz w:val="24"/>
        </w:rPr>
      </w:pPr>
    </w:p>
    <w:p w14:paraId="23000000">
      <w:pPr>
        <w:rPr>
          <w:sz w:val="24"/>
        </w:rPr>
      </w:pPr>
    </w:p>
    <w:p w14:paraId="24000000">
      <w:pPr>
        <w:rPr>
          <w:sz w:val="28"/>
        </w:rPr>
      </w:pPr>
      <w:r>
        <w:rPr>
          <w:sz w:val="28"/>
        </w:rPr>
        <w:t>Председатель собрания депутатов</w:t>
      </w:r>
      <w:r>
        <w:rPr>
          <w:sz w:val="28"/>
        </w:rPr>
        <w:t xml:space="preserve"> -</w:t>
      </w:r>
    </w:p>
    <w:p w14:paraId="25000000">
      <w:pPr>
        <w:pStyle w:val="Style_3"/>
        <w:widowControl w:val="1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>
        <w:rPr>
          <w:rFonts w:ascii="Times New Roman" w:hAnsi="Times New Roman"/>
          <w:sz w:val="28"/>
        </w:rPr>
        <w:t>Костино-Быстрянского</w:t>
      </w:r>
    </w:p>
    <w:p w14:paraId="26000000">
      <w:pPr>
        <w:pStyle w:val="Style_3"/>
        <w:widowControl w:val="1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поселения                            </w:t>
      </w:r>
      <w:r>
        <w:rPr>
          <w:rFonts w:ascii="Times New Roman" w:hAnsi="Times New Roman"/>
          <w:sz w:val="28"/>
        </w:rPr>
        <w:t xml:space="preserve">                                  М.Е.Чехова</w:t>
      </w:r>
    </w:p>
    <w:p w14:paraId="27000000">
      <w:pPr>
        <w:rPr>
          <w:sz w:val="24"/>
        </w:rPr>
      </w:pPr>
    </w:p>
    <w:p w14:paraId="28000000"/>
    <w:p w14:paraId="29000000"/>
    <w:sectPr>
      <w:pgSz w:h="16838" w:w="11906"/>
      <w:pgMar w:bottom="851" w:footer="709" w:gutter="0" w:header="709" w:left="1701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rFonts w:ascii="Times New Roman" w:hAnsi="Times New Roman"/>
      <w:sz w:val="24"/>
    </w:rPr>
  </w:style>
  <w:style w:default="1" w:styleId="Style_4_ch" w:type="character">
    <w:name w:val="Normal"/>
    <w:link w:val="Style_4"/>
    <w:rPr>
      <w:rFonts w:ascii="Times New Roman" w:hAnsi="Times New Roman"/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toc 4"/>
    <w:next w:val="Style_4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toc 6"/>
    <w:next w:val="Style_4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toc 7"/>
    <w:next w:val="Style_4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10" w:type="paragraph">
    <w:name w:val="heading 3"/>
    <w:next w:val="Style_4"/>
    <w:link w:val="Style_1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</w:rPr>
  </w:style>
  <w:style w:styleId="Style_3" w:type="paragraph">
    <w:name w:val="ConsPlusNormal"/>
    <w:link w:val="Style_3_ch"/>
    <w:pPr>
      <w:widowControl w:val="0"/>
      <w:ind w:firstLine="720"/>
    </w:pPr>
    <w:rPr>
      <w:rFonts w:ascii="Arial" w:hAnsi="Arial"/>
    </w:rPr>
  </w:style>
  <w:style w:styleId="Style_3_ch" w:type="character">
    <w:name w:val="ConsPlusNormal"/>
    <w:link w:val="Style_3"/>
    <w:rPr>
      <w:rFonts w:ascii="Arial" w:hAnsi="Arial"/>
    </w:rPr>
  </w:style>
  <w:style w:styleId="Style_11" w:type="paragraph">
    <w:name w:val="toc 3"/>
    <w:next w:val="Style_4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Balloon Text"/>
    <w:basedOn w:val="Style_4"/>
    <w:link w:val="Style_12_ch"/>
    <w:rPr>
      <w:rFonts w:ascii="Tahoma" w:hAnsi="Tahoma"/>
      <w:sz w:val="16"/>
    </w:rPr>
  </w:style>
  <w:style w:styleId="Style_12_ch" w:type="character">
    <w:name w:val="Balloon Text"/>
    <w:basedOn w:val="Style_4_ch"/>
    <w:link w:val="Style_12"/>
    <w:rPr>
      <w:rFonts w:ascii="Tahoma" w:hAnsi="Tahoma"/>
      <w:sz w:val="16"/>
    </w:rPr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3_ch" w:type="character">
    <w:name w:val="heading 5"/>
    <w:link w:val="Style_13"/>
    <w:rPr>
      <w:rFonts w:ascii="XO Thames" w:hAnsi="XO Thames"/>
      <w:b w:val="1"/>
      <w:color w:val="000000"/>
      <w:sz w:val="22"/>
    </w:rPr>
  </w:style>
  <w:style w:styleId="Style_14" w:type="paragraph">
    <w:name w:val="heading 1"/>
    <w:next w:val="Style_4"/>
    <w:link w:val="Style_14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/>
      <w:jc w:val="left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4"/>
    <w:link w:val="Style_17_ch"/>
    <w:uiPriority w:val="39"/>
    <w:pPr>
      <w:ind w:firstLine="0" w:left="0"/>
    </w:pPr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4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0" w:type="paragraph">
    <w:name w:val="header"/>
    <w:basedOn w:val="Style_4"/>
    <w:link w:val="Style_20_ch"/>
    <w:pPr>
      <w:tabs>
        <w:tab w:leader="none" w:pos="4677" w:val="center"/>
        <w:tab w:leader="none" w:pos="9355" w:val="right"/>
      </w:tabs>
      <w:ind/>
    </w:pPr>
  </w:style>
  <w:style w:styleId="Style_20_ch" w:type="character">
    <w:name w:val="header"/>
    <w:basedOn w:val="Style_4_ch"/>
    <w:link w:val="Style_20"/>
  </w:style>
  <w:style w:styleId="Style_21" w:type="paragraph">
    <w:name w:val="toc 8"/>
    <w:next w:val="Style_4"/>
    <w:link w:val="Style_21_ch"/>
    <w:uiPriority w:val="39"/>
    <w:pPr>
      <w:ind w:firstLine="0" w:left="1400"/>
    </w:pPr>
  </w:style>
  <w:style w:styleId="Style_21_ch" w:type="character">
    <w:name w:val="toc 8"/>
    <w:link w:val="Style_21"/>
  </w:style>
  <w:style w:styleId="Style_22" w:type="paragraph">
    <w:name w:val="footer"/>
    <w:basedOn w:val="Style_4"/>
    <w:link w:val="Style_22_ch"/>
    <w:pPr>
      <w:tabs>
        <w:tab w:leader="none" w:pos="4677" w:val="center"/>
        <w:tab w:leader="none" w:pos="9355" w:val="right"/>
      </w:tabs>
      <w:ind/>
    </w:pPr>
  </w:style>
  <w:style w:styleId="Style_22_ch" w:type="character">
    <w:name w:val="footer"/>
    <w:basedOn w:val="Style_4_ch"/>
    <w:link w:val="Style_22"/>
  </w:style>
  <w:style w:styleId="Style_2" w:type="paragraph">
    <w:name w:val="Font Style15"/>
    <w:link w:val="Style_2_ch"/>
    <w:rPr>
      <w:rFonts w:ascii="Microsoft Sans Serif" w:hAnsi="Microsoft Sans Serif"/>
      <w:sz w:val="16"/>
    </w:rPr>
  </w:style>
  <w:style w:styleId="Style_2_ch" w:type="character">
    <w:name w:val="Font Style15"/>
    <w:link w:val="Style_2"/>
    <w:rPr>
      <w:rFonts w:ascii="Microsoft Sans Serif" w:hAnsi="Microsoft Sans Serif"/>
      <w:sz w:val="16"/>
    </w:rPr>
  </w:style>
  <w:style w:styleId="Style_23" w:type="paragraph">
    <w:name w:val="toc 5"/>
    <w:next w:val="Style_4"/>
    <w:link w:val="Style_23_ch"/>
    <w:uiPriority w:val="39"/>
    <w:pPr>
      <w:ind w:firstLine="0" w:left="800"/>
    </w:pPr>
  </w:style>
  <w:style w:styleId="Style_23_ch" w:type="character">
    <w:name w:val="toc 5"/>
    <w:link w:val="Style_23"/>
  </w:style>
  <w:style w:styleId="Style_24" w:type="paragraph">
    <w:name w:val="Subtitle"/>
    <w:next w:val="Style_4"/>
    <w:link w:val="Style_24_ch"/>
    <w:uiPriority w:val="11"/>
    <w:qFormat/>
    <w:rPr>
      <w:rFonts w:ascii="XO Thames" w:hAnsi="XO Thames"/>
      <w:i w:val="1"/>
      <w:color w:val="616161"/>
      <w:sz w:val="24"/>
    </w:rPr>
  </w:style>
  <w:style w:styleId="Style_24_ch" w:type="character">
    <w:name w:val="Subtitle"/>
    <w:link w:val="Style_24"/>
    <w:rPr>
      <w:rFonts w:ascii="XO Thames" w:hAnsi="XO Thames"/>
      <w:i w:val="1"/>
      <w:color w:val="616161"/>
      <w:sz w:val="24"/>
    </w:rPr>
  </w:style>
  <w:style w:styleId="Style_25" w:type="paragraph">
    <w:name w:val="Font Style29"/>
    <w:link w:val="Style_25_ch"/>
    <w:rPr>
      <w:rFonts w:ascii="Times New Roman" w:hAnsi="Times New Roman"/>
      <w:sz w:val="22"/>
    </w:rPr>
  </w:style>
  <w:style w:styleId="Style_25_ch" w:type="character">
    <w:name w:val="Font Style29"/>
    <w:link w:val="Style_25"/>
    <w:rPr>
      <w:rFonts w:ascii="Times New Roman" w:hAnsi="Times New Roman"/>
      <w:sz w:val="22"/>
    </w:rPr>
  </w:style>
  <w:style w:styleId="Style_26" w:type="paragraph">
    <w:name w:val="toc 10"/>
    <w:next w:val="Style_4"/>
    <w:link w:val="Style_26_ch"/>
    <w:uiPriority w:val="39"/>
    <w:pPr>
      <w:ind w:firstLine="0" w:left="1800"/>
    </w:pPr>
  </w:style>
  <w:style w:styleId="Style_26_ch" w:type="character">
    <w:name w:val="toc 10"/>
    <w:link w:val="Style_26"/>
  </w:style>
  <w:style w:styleId="Style_27" w:type="paragraph">
    <w:name w:val="Title"/>
    <w:basedOn w:val="Style_4"/>
    <w:link w:val="Style_27_ch"/>
    <w:uiPriority w:val="10"/>
    <w:qFormat/>
    <w:pPr>
      <w:ind/>
      <w:jc w:val="center"/>
    </w:pPr>
    <w:rPr>
      <w:sz w:val="28"/>
    </w:rPr>
  </w:style>
  <w:style w:styleId="Style_27_ch" w:type="character">
    <w:name w:val="Title"/>
    <w:basedOn w:val="Style_4_ch"/>
    <w:link w:val="Style_27"/>
    <w:rPr>
      <w:sz w:val="28"/>
    </w:rPr>
  </w:style>
  <w:style w:styleId="Style_28" w:type="paragraph">
    <w:name w:val="heading 4"/>
    <w:next w:val="Style_4"/>
    <w:link w:val="Style_28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8_ch" w:type="character">
    <w:name w:val="heading 4"/>
    <w:link w:val="Style_28"/>
    <w:rPr>
      <w:rFonts w:ascii="XO Thames" w:hAnsi="XO Thames"/>
      <w:b w:val="1"/>
      <w:color w:val="595959"/>
      <w:sz w:val="26"/>
    </w:rPr>
  </w:style>
  <w:style w:styleId="Style_29" w:type="paragraph">
    <w:name w:val="heading 2"/>
    <w:basedOn w:val="Style_4"/>
    <w:next w:val="Style_4"/>
    <w:link w:val="Style_29_ch"/>
    <w:uiPriority w:val="9"/>
    <w:qFormat/>
    <w:pPr>
      <w:keepNext w:val="1"/>
      <w:ind w:firstLine="485"/>
      <w:jc w:val="both"/>
      <w:outlineLvl w:val="1"/>
    </w:pPr>
    <w:rPr>
      <w:rFonts w:ascii="Arial" w:hAnsi="Arial"/>
      <w:b w:val="1"/>
      <w:sz w:val="20"/>
    </w:rPr>
  </w:style>
  <w:style w:styleId="Style_29_ch" w:type="character">
    <w:name w:val="heading 2"/>
    <w:basedOn w:val="Style_4_ch"/>
    <w:link w:val="Style_29"/>
    <w:rPr>
      <w:rFonts w:ascii="Arial" w:hAnsi="Arial"/>
      <w:b w:val="1"/>
      <w:sz w:val="20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2023-11-14T05:02:39Z</dcterms:modified>
</cp:coreProperties>
</file>