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14 июня 2022 г.                                   № 34       </w:t>
      </w:r>
      <w:r>
        <w:rPr>
          <w:b w:val="1"/>
          <w:sz w:val="28"/>
        </w:rPr>
        <w:t xml:space="preserve">                 х. Костино-Быстрянский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p w14:paraId="0F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Об особенностях расчета арендной платы</w:t>
      </w:r>
    </w:p>
    <w:p w14:paraId="10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 договорам аренды земельных участков,</w:t>
      </w:r>
    </w:p>
    <w:p w14:paraId="11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находящихся в муниципальной </w:t>
      </w:r>
    </w:p>
    <w:p w14:paraId="12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собственности,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 2022 году</w:t>
      </w:r>
    </w:p>
    <w:p w14:paraId="13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    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санкционного давления",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Администрация Костино-Быстрянского сельского поселения постановляет:</w:t>
      </w:r>
    </w:p>
    <w:p w14:paraId="1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   1. Внести в постановление Администрации Костино-Быстрянского сельского поселения от 13.12.2016 № 113 "О порядке определения размера арендной платы за использование земельных участков, находящихся в муниципальной собственности муниципального образования "Костино-Быстрянское сельское поселение" изменения согласно приложению.</w:t>
      </w:r>
    </w:p>
    <w:p w14:paraId="17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2. Установить, что с 1 апреля по 31 декабря 2022 г. при расчете арендной платы за земельные участки, находящиеся в муниципальной собственности,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18000000">
      <w:pPr>
        <w:spacing w:after="134" w:before="134" w:line="192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3. Настоящее постановление вступает в силу со дня его официального опубликования.</w:t>
      </w:r>
    </w:p>
    <w:p w14:paraId="19000000">
      <w:pPr>
        <w:spacing w:after="134" w:before="134" w:line="192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   4. Контроль за выполнением настоящего постановления оставляю за собой.</w:t>
      </w:r>
    </w:p>
    <w:p w14:paraId="1A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B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Глава Администрации</w:t>
      </w:r>
    </w:p>
    <w:p w14:paraId="1C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Костино-Быстрянского </w:t>
      </w:r>
    </w:p>
    <w:p w14:paraId="1D000000">
      <w:pPr>
        <w:spacing w:after="134" w:before="134" w:line="168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             А.В. Тареев</w:t>
      </w:r>
    </w:p>
    <w:p w14:paraId="1E000000">
      <w:pPr>
        <w:spacing w:after="134" w:before="134" w:line="192" w:lineRule="auto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F000000">
      <w:pPr>
        <w:spacing w:after="134" w:before="134" w:line="192" w:lineRule="auto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Приложение</w:t>
      </w:r>
    </w:p>
    <w:p w14:paraId="20000000">
      <w:pPr>
        <w:spacing w:after="134" w:before="134" w:line="192" w:lineRule="auto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 постановлению Администрации</w:t>
      </w:r>
    </w:p>
    <w:p w14:paraId="21000000">
      <w:pPr>
        <w:spacing w:after="134" w:before="134" w:line="192" w:lineRule="auto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Костино-Быстрянского сельского поселения</w:t>
      </w:r>
    </w:p>
    <w:p w14:paraId="22000000">
      <w:pPr>
        <w:spacing w:after="134" w:before="134" w:line="192" w:lineRule="auto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от 14.06.2022 г № 34</w:t>
      </w:r>
    </w:p>
    <w:p w14:paraId="23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4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5000000">
      <w:pPr>
        <w:spacing w:after="134" w:before="134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6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ИЗМЕНЕНИЯ,</w:t>
      </w:r>
    </w:p>
    <w:p w14:paraId="27000000">
      <w:pPr>
        <w:spacing w:after="134" w:before="134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вносимые в постановление Администрации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Костино-Быстрянского               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13.12.2016 № 113 "О порядке определения размера    арендной платы за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спользование земельных участков, находящихся в муниципальной собственности муниципального образования                           "Костино-Быстрянское сельское поселение":</w:t>
      </w:r>
    </w:p>
    <w:p w14:paraId="28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1. Дополнить пунктом 1.1. следующего содержания:</w:t>
      </w:r>
    </w:p>
    <w:p w14:paraId="29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"1.1. Установить, что особенности определения размера арендной платы за земельные участки, находящиеся в собственности муниципального образования "Костино-Быстрянское сельское поселение", в 2022 году устанавливаются в соответствии с нормативно-правовыми актами Ростовской области".</w:t>
      </w:r>
    </w:p>
    <w:p w14:paraId="2A000000">
      <w:pPr>
        <w:spacing w:line="240" w:lineRule="exact"/>
        <w:ind w:right="-30"/>
        <w:jc w:val="both"/>
        <w:rPr>
          <w:spacing w:val="2"/>
          <w:sz w:val="28"/>
        </w:rPr>
      </w:pPr>
    </w:p>
    <w:p w14:paraId="2B000000">
      <w:pPr>
        <w:ind/>
        <w:jc w:val="both"/>
        <w:rPr>
          <w:sz w:val="24"/>
        </w:rPr>
      </w:pPr>
    </w:p>
    <w:p w14:paraId="2C000000">
      <w:pPr>
        <w:ind/>
        <w:jc w:val="right"/>
        <w:rPr>
          <w:sz w:val="24"/>
        </w:rPr>
      </w:pPr>
    </w:p>
    <w:p w14:paraId="2D000000">
      <w:pPr>
        <w:ind/>
        <w:jc w:val="right"/>
        <w:rPr>
          <w:sz w:val="24"/>
        </w:rPr>
      </w:pPr>
    </w:p>
    <w:p w14:paraId="2E000000">
      <w:pPr>
        <w:ind/>
        <w:jc w:val="right"/>
        <w:rPr>
          <w:sz w:val="24"/>
        </w:rPr>
      </w:pPr>
    </w:p>
    <w:p w14:paraId="2F000000">
      <w:pPr>
        <w:ind/>
        <w:jc w:val="right"/>
        <w:rPr>
          <w:sz w:val="24"/>
        </w:rPr>
      </w:pPr>
    </w:p>
    <w:p w14:paraId="30000000">
      <w:pPr>
        <w:ind/>
        <w:jc w:val="right"/>
        <w:rPr>
          <w:sz w:val="24"/>
        </w:rPr>
      </w:pPr>
    </w:p>
    <w:p w14:paraId="31000000">
      <w:pPr>
        <w:ind/>
        <w:jc w:val="right"/>
        <w:rPr>
          <w:sz w:val="24"/>
        </w:rPr>
      </w:pPr>
    </w:p>
    <w:p w14:paraId="32000000">
      <w:pPr>
        <w:ind/>
        <w:jc w:val="right"/>
        <w:rPr>
          <w:sz w:val="24"/>
        </w:rPr>
      </w:pPr>
    </w:p>
    <w:p w14:paraId="33000000">
      <w:pPr>
        <w:ind/>
        <w:jc w:val="right"/>
        <w:rPr>
          <w:sz w:val="24"/>
        </w:rPr>
      </w:pPr>
    </w:p>
    <w:p w14:paraId="34000000">
      <w:pPr>
        <w:ind/>
        <w:jc w:val="right"/>
        <w:rPr>
          <w:sz w:val="24"/>
        </w:rPr>
      </w:pPr>
    </w:p>
    <w:p w14:paraId="35000000">
      <w:pPr>
        <w:ind/>
        <w:jc w:val="right"/>
        <w:rPr>
          <w:sz w:val="24"/>
        </w:rPr>
      </w:pPr>
    </w:p>
    <w:p w14:paraId="36000000">
      <w:pPr>
        <w:ind/>
        <w:jc w:val="right"/>
        <w:rPr>
          <w:sz w:val="24"/>
        </w:rPr>
      </w:pPr>
    </w:p>
    <w:p w14:paraId="37000000">
      <w:pPr>
        <w:ind/>
        <w:jc w:val="right"/>
        <w:rPr>
          <w:sz w:val="24"/>
        </w:rPr>
      </w:pPr>
    </w:p>
    <w:p w14:paraId="38000000">
      <w:pPr>
        <w:ind/>
        <w:jc w:val="right"/>
        <w:rPr>
          <w:sz w:val="24"/>
        </w:rPr>
      </w:pPr>
    </w:p>
    <w:p w14:paraId="39000000">
      <w:pPr>
        <w:ind/>
        <w:jc w:val="right"/>
        <w:rPr>
          <w:sz w:val="24"/>
        </w:rPr>
      </w:pPr>
    </w:p>
    <w:p w14:paraId="3A000000">
      <w:pPr>
        <w:ind/>
        <w:jc w:val="right"/>
        <w:rPr>
          <w:sz w:val="24"/>
        </w:rPr>
      </w:pPr>
    </w:p>
    <w:p w14:paraId="3B000000">
      <w:pPr>
        <w:ind/>
        <w:jc w:val="right"/>
        <w:rPr>
          <w:sz w:val="24"/>
        </w:rPr>
      </w:pPr>
    </w:p>
    <w:p w14:paraId="3C000000">
      <w:pPr>
        <w:ind/>
        <w:jc w:val="right"/>
        <w:rPr>
          <w:sz w:val="24"/>
        </w:rPr>
      </w:pPr>
    </w:p>
    <w:sectPr>
      <w:headerReference r:id="rId1" w:type="first"/>
      <w:headerReference r:id="rId2" w:type="default"/>
      <w:pgSz w:h="16848" w:w="11908"/>
      <w:pgMar w:bottom="283" w:footer="708" w:gutter="0" w:header="708" w:left="1417" w:right="567" w:top="28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8" w:type="paragraph">
    <w:name w:val="Без интервала1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Без интервала1"/>
    <w:link w:val="Style_8"/>
    <w:rPr>
      <w:rFonts w:ascii="Calibri" w:hAnsi="Calibri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ConsPlusNormal"/>
    <w:link w:val="Style_13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page number"/>
    <w:basedOn w:val="Style_9"/>
    <w:link w:val="Style_19_ch"/>
  </w:style>
  <w:style w:styleId="Style_19_ch" w:type="character">
    <w:name w:val="page number"/>
    <w:basedOn w:val="Style_9_ch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2022-06-15T08:57:02Z</dcterms:modified>
</cp:coreProperties>
</file>