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Российская Федерация</w:t>
      </w:r>
    </w:p>
    <w:p w14:paraId="02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Ростовская область </w:t>
      </w:r>
    </w:p>
    <w:p w14:paraId="03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Морозовский район</w:t>
      </w:r>
    </w:p>
    <w:p w14:paraId="04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Администрация Костино-</w:t>
      </w:r>
      <w:r>
        <w:rPr>
          <w:rFonts w:ascii="Times New Roman" w:hAnsi="Times New Roman"/>
          <w:b w:val="1"/>
          <w:sz w:val="28"/>
        </w:rPr>
        <w:t>Быстрянского</w:t>
      </w:r>
      <w:r>
        <w:rPr>
          <w:rFonts w:ascii="Times New Roman" w:hAnsi="Times New Roman"/>
          <w:b w:val="1"/>
          <w:sz w:val="28"/>
        </w:rPr>
        <w:t xml:space="preserve"> </w:t>
      </w:r>
    </w:p>
    <w:p w14:paraId="05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сельского поселения</w:t>
      </w:r>
    </w:p>
    <w:p w14:paraId="06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07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08000000">
      <w:pPr>
        <w:spacing w:after="0" w:line="240" w:lineRule="auto"/>
        <w:ind/>
        <w:jc w:val="center"/>
        <w:rPr>
          <w:rFonts w:ascii="Times New Roman" w:hAnsi="Times New Roman"/>
          <w:i w:val="1"/>
          <w:sz w:val="28"/>
          <w:u w:val="single"/>
        </w:rPr>
      </w:pPr>
      <w:r>
        <w:rPr>
          <w:rFonts w:ascii="Times New Roman" w:hAnsi="Times New Roman"/>
          <w:b w:val="1"/>
          <w:sz w:val="28"/>
        </w:rPr>
        <w:t xml:space="preserve">                       ПОСТАНОВЛЕНИЕ</w:t>
      </w:r>
      <w:r>
        <w:rPr>
          <w:rFonts w:ascii="Times New Roman" w:hAnsi="Times New Roman"/>
          <w:b w:val="1"/>
          <w:sz w:val="28"/>
        </w:rPr>
        <w:tab/>
      </w:r>
      <w:r>
        <w:rPr>
          <w:rFonts w:ascii="Times New Roman" w:hAnsi="Times New Roman"/>
          <w:b w:val="1"/>
          <w:sz w:val="28"/>
        </w:rPr>
        <w:tab/>
      </w:r>
      <w:r>
        <w:rPr>
          <w:rFonts w:ascii="Times New Roman" w:hAnsi="Times New Roman"/>
          <w:b w:val="1"/>
          <w:sz w:val="28"/>
        </w:rPr>
        <w:t xml:space="preserve">                 </w:t>
      </w:r>
    </w:p>
    <w:p w14:paraId="09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0A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0B000000">
      <w:pPr>
        <w:spacing w:after="0" w:line="240" w:lineRule="auto"/>
        <w:ind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08 апреля 2022 г.                              № 21                     х. Костино-Быстрянский</w:t>
      </w:r>
    </w:p>
    <w:p w14:paraId="0C000000">
      <w:pPr>
        <w:spacing w:after="0" w:line="240" w:lineRule="auto"/>
        <w:ind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 </w:t>
      </w:r>
    </w:p>
    <w:p w14:paraId="0D000000">
      <w:pPr>
        <w:spacing w:line="100" w:lineRule="atLeast"/>
        <w:ind/>
        <w:jc w:val="both"/>
      </w:pPr>
    </w:p>
    <w:tbl>
      <w:tblPr>
        <w:tblStyle w:val="Style_1"/>
        <w:tblLayout w:type="fixed"/>
      </w:tblPr>
      <w:tblGrid>
        <w:gridCol w:w="4924"/>
      </w:tblGrid>
      <w:tr>
        <w:tc>
          <w:tcPr>
            <w:tcW w:type="dxa" w:w="4924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0E000000">
            <w:pPr>
              <w:rPr>
                <w:color w:val="181818"/>
                <w:sz w:val="28"/>
              </w:rPr>
            </w:pPr>
            <w:r>
              <w:rPr>
                <w:color w:val="181818"/>
                <w:sz w:val="28"/>
              </w:rPr>
              <w:t>Об утверждении</w:t>
            </w:r>
            <w:r>
              <w:rPr>
                <w:color w:val="181818"/>
              </w:rPr>
              <w:t xml:space="preserve"> </w:t>
            </w:r>
            <w:r>
              <w:rPr>
                <w:color w:val="181818"/>
                <w:sz w:val="28"/>
              </w:rPr>
              <w:t>программы профилактики</w:t>
            </w:r>
            <w:r>
              <w:rPr>
                <w:color w:val="181818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 xml:space="preserve">нарушений </w:t>
            </w:r>
            <w:r>
              <w:rPr>
                <w:color w:val="181818"/>
                <w:sz w:val="28"/>
              </w:rPr>
              <w:t>обязательных требований</w:t>
            </w:r>
            <w:r>
              <w:rPr>
                <w:color w:val="181818"/>
                <w:sz w:val="28"/>
              </w:rPr>
              <w:t xml:space="preserve"> в сфере </w:t>
            </w:r>
            <w:r>
              <w:rPr>
                <w:color w:val="181818"/>
                <w:sz w:val="28"/>
              </w:rPr>
              <w:t>муниципального жилищного контроля в 2022 году</w:t>
            </w:r>
          </w:p>
          <w:p w14:paraId="0F000000">
            <w:pPr>
              <w:ind/>
              <w:jc w:val="center"/>
              <w:rPr>
                <w:color w:val="181818"/>
              </w:rPr>
            </w:pPr>
          </w:p>
        </w:tc>
      </w:tr>
    </w:tbl>
    <w:p w14:paraId="10000000">
      <w:pPr>
        <w:ind/>
        <w:jc w:val="center"/>
        <w:rPr>
          <w:color w:val="181818"/>
          <w:sz w:val="22"/>
        </w:rPr>
      </w:pPr>
    </w:p>
    <w:p w14:paraId="11000000">
      <w:pPr>
        <w:ind w:firstLine="708"/>
        <w:jc w:val="both"/>
        <w:rPr>
          <w:color w:val="181818"/>
          <w:sz w:val="28"/>
        </w:rPr>
      </w:pPr>
      <w:r>
        <w:rPr>
          <w:color w:val="181818"/>
          <w:spacing w:val="-1"/>
          <w:sz w:val="28"/>
        </w:rPr>
        <w:t xml:space="preserve">В соответствии с требованиями статьи 44 Федерального закона от 31.07.2020 </w:t>
      </w:r>
      <w:r>
        <w:rPr>
          <w:color w:val="181818"/>
          <w:spacing w:val="-1"/>
          <w:sz w:val="28"/>
        </w:rPr>
        <w:t xml:space="preserve"> №</w:t>
      </w:r>
      <w:r>
        <w:rPr>
          <w:color w:val="181818"/>
          <w:spacing w:val="-1"/>
          <w:sz w:val="28"/>
        </w:rPr>
        <w:t xml:space="preserve"> 248-ФЗ "О государственном контроле (надзоре) и муниципальном контроле в Российской Федерации"</w:t>
      </w:r>
      <w:r>
        <w:rPr>
          <w:color w:val="181818"/>
          <w:sz w:val="28"/>
        </w:rPr>
        <w:t xml:space="preserve"> Администрация Костино-Быстрянского сельского поселения </w:t>
      </w:r>
    </w:p>
    <w:p w14:paraId="12000000">
      <w:pPr>
        <w:ind w:firstLine="708"/>
        <w:jc w:val="both"/>
        <w:rPr>
          <w:color w:val="181818"/>
          <w:sz w:val="28"/>
        </w:rPr>
      </w:pPr>
    </w:p>
    <w:p w14:paraId="13000000">
      <w:pPr>
        <w:ind/>
        <w:jc w:val="center"/>
        <w:rPr>
          <w:color w:val="181818"/>
          <w:sz w:val="28"/>
        </w:rPr>
      </w:pPr>
      <w:r>
        <w:rPr>
          <w:color w:val="181818"/>
          <w:sz w:val="28"/>
        </w:rPr>
        <w:t>ПОСТАНОВЛЯЕТ:</w:t>
      </w:r>
    </w:p>
    <w:p w14:paraId="14000000">
      <w:pPr>
        <w:ind/>
        <w:jc w:val="center"/>
        <w:rPr>
          <w:b w:val="1"/>
          <w:color w:val="181818"/>
          <w:sz w:val="28"/>
        </w:rPr>
      </w:pPr>
    </w:p>
    <w:p w14:paraId="15000000">
      <w:pPr>
        <w:pStyle w:val="Style_2"/>
        <w:numPr>
          <w:ilvl w:val="0"/>
          <w:numId w:val="1"/>
        </w:numPr>
        <w:ind w:firstLine="709" w:left="0"/>
        <w:jc w:val="both"/>
        <w:rPr>
          <w:color w:val="181818"/>
          <w:sz w:val="28"/>
        </w:rPr>
      </w:pPr>
      <w:r>
        <w:rPr>
          <w:color w:val="181818"/>
          <w:sz w:val="28"/>
        </w:rPr>
        <w:t>Утвердить программу профилактики нарушений обязательных требований в сфере муниципального жилищного контроля в 2022 году, согласно приложени</w:t>
      </w:r>
      <w:r>
        <w:rPr>
          <w:color w:val="181818"/>
          <w:sz w:val="28"/>
        </w:rPr>
        <w:t>ю</w:t>
      </w:r>
      <w:r>
        <w:rPr>
          <w:color w:val="181818"/>
          <w:sz w:val="28"/>
        </w:rPr>
        <w:t>.</w:t>
      </w:r>
    </w:p>
    <w:p w14:paraId="16000000">
      <w:pPr>
        <w:numPr>
          <w:ilvl w:val="0"/>
          <w:numId w:val="1"/>
        </w:numPr>
        <w:ind w:firstLine="705" w:left="0"/>
        <w:jc w:val="both"/>
        <w:rPr>
          <w:sz w:val="28"/>
        </w:rPr>
      </w:pPr>
      <w:r>
        <w:rPr>
          <w:sz w:val="28"/>
        </w:rPr>
        <w:t xml:space="preserve"> Настоящее постановление вступает в силу со дня его официального опубликования (обнародования) и подлежит размещению на официальном сайте Костино-</w:t>
      </w:r>
      <w:r>
        <w:rPr>
          <w:sz w:val="28"/>
        </w:rPr>
        <w:t>Быстрянского</w:t>
      </w:r>
      <w:r>
        <w:rPr>
          <w:sz w:val="28"/>
        </w:rPr>
        <w:t xml:space="preserve"> сельского поселения.</w:t>
      </w:r>
    </w:p>
    <w:p w14:paraId="17000000">
      <w:pPr>
        <w:numPr>
          <w:ilvl w:val="0"/>
          <w:numId w:val="1"/>
        </w:numPr>
        <w:ind w:firstLine="705" w:left="0"/>
        <w:jc w:val="both"/>
        <w:rPr>
          <w:sz w:val="28"/>
        </w:rPr>
      </w:pPr>
      <w:r>
        <w:rPr>
          <w:sz w:val="28"/>
        </w:rPr>
        <w:t>Контроль за исполнением настоящего постановления оставляю за собой.</w:t>
      </w:r>
    </w:p>
    <w:p w14:paraId="18000000">
      <w:pPr>
        <w:spacing w:line="276" w:lineRule="auto"/>
        <w:ind w:right="-285"/>
        <w:jc w:val="both"/>
        <w:rPr>
          <w:sz w:val="28"/>
        </w:rPr>
      </w:pPr>
    </w:p>
    <w:p w14:paraId="19000000">
      <w:pPr>
        <w:ind w:right="-285"/>
        <w:jc w:val="both"/>
        <w:rPr>
          <w:sz w:val="28"/>
        </w:rPr>
      </w:pPr>
      <w:r>
        <w:rPr>
          <w:sz w:val="28"/>
        </w:rPr>
        <w:t xml:space="preserve">Глава Администрации </w:t>
      </w:r>
    </w:p>
    <w:p w14:paraId="1A000000">
      <w:pPr>
        <w:ind w:right="-285"/>
        <w:jc w:val="both"/>
        <w:rPr>
          <w:sz w:val="28"/>
        </w:rPr>
      </w:pPr>
      <w:r>
        <w:rPr>
          <w:sz w:val="28"/>
        </w:rPr>
        <w:t>Костино-</w:t>
      </w:r>
      <w:r>
        <w:rPr>
          <w:sz w:val="28"/>
        </w:rPr>
        <w:t>Быстрянского</w:t>
      </w:r>
      <w:r>
        <w:rPr>
          <w:sz w:val="28"/>
        </w:rPr>
        <w:t xml:space="preserve"> </w:t>
      </w:r>
    </w:p>
    <w:p w14:paraId="1B000000">
      <w:pPr>
        <w:ind w:right="-285"/>
        <w:jc w:val="both"/>
        <w:rPr>
          <w:sz w:val="28"/>
        </w:rPr>
      </w:pPr>
      <w:r>
        <w:rPr>
          <w:sz w:val="28"/>
        </w:rPr>
        <w:t>сельского поселения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 xml:space="preserve">         А.В. Тареев</w:t>
      </w:r>
      <w:r>
        <w:rPr>
          <w:color w:val="181818"/>
          <w:sz w:val="28"/>
        </w:rPr>
        <w:t xml:space="preserve">                                                           </w:t>
      </w:r>
      <w:r>
        <w:rPr>
          <w:color w:val="181818"/>
          <w:sz w:val="28"/>
        </w:rPr>
        <w:t xml:space="preserve">         </w:t>
      </w:r>
    </w:p>
    <w:p w14:paraId="1C000000">
      <w:pPr>
        <w:sectPr>
          <w:pgSz w:h="16820" w:w="11900"/>
          <w:pgMar w:bottom="1134" w:footer="720" w:gutter="0" w:header="720" w:left="1701" w:right="567" w:top="1134"/>
        </w:sectPr>
      </w:pPr>
    </w:p>
    <w:p w14:paraId="1D000000">
      <w:pPr>
        <w:rPr>
          <w:color w:val="181818"/>
          <w:sz w:val="28"/>
        </w:rPr>
      </w:pPr>
    </w:p>
    <w:p w14:paraId="1E000000">
      <w:pPr>
        <w:pStyle w:val="Style_3"/>
        <w:widowControl w:val="1"/>
        <w:ind w:right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</w:t>
      </w:r>
      <w:r>
        <w:rPr>
          <w:rFonts w:ascii="Times New Roman" w:hAnsi="Times New Roman"/>
          <w:sz w:val="24"/>
        </w:rPr>
        <w:t xml:space="preserve">Приложение </w:t>
      </w:r>
    </w:p>
    <w:p w14:paraId="1F000000">
      <w:pPr>
        <w:pStyle w:val="Style_3"/>
        <w:widowControl w:val="1"/>
        <w:ind w:right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</w:t>
      </w:r>
      <w:r>
        <w:rPr>
          <w:rFonts w:ascii="Times New Roman" w:hAnsi="Times New Roman"/>
          <w:sz w:val="24"/>
        </w:rPr>
        <w:t xml:space="preserve">к постановлению </w:t>
      </w:r>
    </w:p>
    <w:p w14:paraId="20000000">
      <w:pPr>
        <w:pStyle w:val="Style_3"/>
        <w:widowControl w:val="1"/>
        <w:ind w:right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</w:t>
      </w:r>
      <w:r>
        <w:rPr>
          <w:rFonts w:ascii="Times New Roman" w:hAnsi="Times New Roman"/>
          <w:sz w:val="24"/>
        </w:rPr>
        <w:t>Администрации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Костино-Быстрянского</w:t>
      </w:r>
      <w:r>
        <w:rPr>
          <w:rFonts w:ascii="Times New Roman" w:hAnsi="Times New Roman"/>
          <w:sz w:val="24"/>
        </w:rPr>
        <w:t xml:space="preserve">                         </w:t>
      </w:r>
    </w:p>
    <w:p w14:paraId="21000000">
      <w:pPr>
        <w:pStyle w:val="Style_3"/>
        <w:widowControl w:val="1"/>
        <w:ind w:right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сельского</w:t>
      </w:r>
      <w:r>
        <w:rPr>
          <w:rFonts w:ascii="Times New Roman" w:hAnsi="Times New Roman"/>
          <w:sz w:val="24"/>
        </w:rPr>
        <w:t xml:space="preserve"> поселения</w:t>
      </w:r>
    </w:p>
    <w:p w14:paraId="22000000">
      <w:pPr>
        <w:pStyle w:val="Style_3"/>
        <w:widowControl w:val="1"/>
        <w:ind w:right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</w:t>
      </w:r>
      <w:r>
        <w:rPr>
          <w:rFonts w:ascii="Times New Roman" w:hAnsi="Times New Roman"/>
          <w:sz w:val="24"/>
        </w:rPr>
        <w:t xml:space="preserve">от </w:t>
      </w:r>
      <w:r>
        <w:rPr>
          <w:rFonts w:ascii="Times New Roman" w:hAnsi="Times New Roman"/>
          <w:sz w:val="24"/>
        </w:rPr>
        <w:t xml:space="preserve">08.04.2022 г. </w:t>
      </w:r>
      <w:r>
        <w:rPr>
          <w:rFonts w:ascii="Times New Roman" w:hAnsi="Times New Roman"/>
          <w:sz w:val="24"/>
        </w:rPr>
        <w:t>№</w:t>
      </w:r>
      <w:r>
        <w:rPr>
          <w:rFonts w:ascii="Times New Roman" w:hAnsi="Times New Roman"/>
          <w:sz w:val="24"/>
        </w:rPr>
        <w:t xml:space="preserve"> 21        </w:t>
      </w:r>
    </w:p>
    <w:p w14:paraId="23000000">
      <w:pPr>
        <w:pStyle w:val="Style_3"/>
        <w:widowControl w:val="1"/>
        <w:spacing w:after="100"/>
        <w:ind w:right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</w:t>
      </w:r>
      <w:r>
        <w:rPr>
          <w:rFonts w:ascii="Times New Roman" w:hAnsi="Times New Roman"/>
          <w:sz w:val="24"/>
        </w:rPr>
        <w:t xml:space="preserve">         </w:t>
      </w:r>
      <w:r>
        <w:rPr>
          <w:rFonts w:ascii="Times New Roman" w:hAnsi="Times New Roman"/>
          <w:sz w:val="24"/>
        </w:rPr>
        <w:t xml:space="preserve">                                                                           </w:t>
      </w:r>
      <w:r>
        <w:rPr>
          <w:rFonts w:ascii="Times New Roman" w:hAnsi="Times New Roman"/>
          <w:sz w:val="24"/>
        </w:rPr>
        <w:t xml:space="preserve">                                                                             </w:t>
      </w:r>
    </w:p>
    <w:p w14:paraId="24000000">
      <w:pPr>
        <w:pStyle w:val="Style_4"/>
        <w:ind/>
        <w:contextualSpacing w:val="1"/>
        <w:jc w:val="center"/>
        <w:rPr>
          <w:rFonts w:ascii="Times New Roman" w:hAnsi="Times New Roman"/>
          <w:color w:val="181818"/>
        </w:rPr>
      </w:pPr>
      <w:bookmarkStart w:id="1" w:name="_GoBack"/>
      <w:bookmarkEnd w:id="1"/>
      <w:r>
        <w:rPr>
          <w:rFonts w:ascii="Times New Roman" w:hAnsi="Times New Roman"/>
          <w:b w:val="1"/>
          <w:color w:val="181818"/>
        </w:rPr>
        <w:t xml:space="preserve">ПРОГРАММА </w:t>
      </w:r>
    </w:p>
    <w:p w14:paraId="25000000">
      <w:pPr>
        <w:pStyle w:val="Style_4"/>
        <w:ind/>
        <w:contextualSpacing w:val="1"/>
        <w:jc w:val="center"/>
        <w:rPr>
          <w:rFonts w:ascii="Times New Roman" w:hAnsi="Times New Roman"/>
          <w:color w:val="181818"/>
          <w:sz w:val="28"/>
        </w:rPr>
      </w:pPr>
      <w:r>
        <w:rPr>
          <w:rFonts w:ascii="Times New Roman" w:hAnsi="Times New Roman"/>
          <w:color w:val="181818"/>
          <w:sz w:val="28"/>
        </w:rPr>
        <w:t xml:space="preserve">профилактики рисков причинения вреда (ущерба) </w:t>
      </w:r>
    </w:p>
    <w:p w14:paraId="26000000">
      <w:pPr>
        <w:pStyle w:val="Style_4"/>
        <w:ind/>
        <w:contextualSpacing w:val="1"/>
        <w:jc w:val="center"/>
        <w:rPr>
          <w:rFonts w:ascii="Times New Roman" w:hAnsi="Times New Roman"/>
          <w:color w:val="181818"/>
          <w:sz w:val="28"/>
        </w:rPr>
      </w:pPr>
      <w:r>
        <w:rPr>
          <w:rFonts w:ascii="Times New Roman" w:hAnsi="Times New Roman"/>
          <w:color w:val="181818"/>
          <w:sz w:val="28"/>
        </w:rPr>
        <w:t>охраняемым законом ценностям</w:t>
      </w:r>
    </w:p>
    <w:p w14:paraId="27000000">
      <w:pPr>
        <w:pStyle w:val="Style_4"/>
        <w:ind/>
        <w:contextualSpacing w:val="1"/>
        <w:jc w:val="center"/>
        <w:rPr>
          <w:rFonts w:ascii="Times New Roman" w:hAnsi="Times New Roman"/>
          <w:color w:val="181818"/>
          <w:sz w:val="28"/>
        </w:rPr>
      </w:pPr>
      <w:r>
        <w:rPr>
          <w:rFonts w:ascii="Times New Roman" w:hAnsi="Times New Roman"/>
          <w:color w:val="181818"/>
          <w:sz w:val="28"/>
        </w:rPr>
        <w:t>при осуществлении муниципального жилищного контроля на 2022 год</w:t>
      </w:r>
    </w:p>
    <w:p w14:paraId="28000000">
      <w:pPr>
        <w:ind/>
        <w:jc w:val="center"/>
        <w:rPr>
          <w:b w:val="1"/>
          <w:color w:val="181818"/>
          <w:sz w:val="28"/>
        </w:rPr>
      </w:pPr>
    </w:p>
    <w:p w14:paraId="29000000">
      <w:pPr>
        <w:spacing w:before="14"/>
        <w:ind w:firstLine="1829" w:left="1180"/>
        <w:rPr>
          <w:color w:val="181818"/>
          <w:sz w:val="28"/>
        </w:rPr>
      </w:pPr>
      <w:r>
        <w:rPr>
          <w:color w:val="181818"/>
          <w:sz w:val="28"/>
        </w:rPr>
        <w:t xml:space="preserve">   Паспор</w:t>
      </w:r>
      <w:r>
        <w:rPr>
          <w:color w:val="181818"/>
          <w:spacing w:val="90"/>
          <w:sz w:val="28"/>
        </w:rPr>
        <w:t>т</w:t>
      </w:r>
      <w:r>
        <w:rPr>
          <w:color w:val="181818"/>
          <w:spacing w:val="90"/>
          <w:sz w:val="28"/>
        </w:rPr>
        <w:t xml:space="preserve"> </w:t>
      </w:r>
      <w:r>
        <w:rPr>
          <w:color w:val="181818"/>
          <w:sz w:val="28"/>
        </w:rPr>
        <w:t>программы</w:t>
      </w:r>
    </w:p>
    <w:p w14:paraId="2A000000">
      <w:pPr>
        <w:spacing w:before="14"/>
        <w:ind w:firstLine="1829" w:left="1180"/>
        <w:rPr>
          <w:color w:val="181818"/>
        </w:rPr>
      </w:pPr>
    </w:p>
    <w:tbl>
      <w:tblPr>
        <w:tblStyle w:val="Style_5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2658"/>
        <w:gridCol w:w="6914"/>
        <w:gridCol w:w="118"/>
      </w:tblGrid>
      <w:tr>
        <w:tc>
          <w:tcPr>
            <w:tcW w:type="dxa" w:w="26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B000000">
            <w:pPr>
              <w:tabs>
                <w:tab w:leader="none" w:pos="1535" w:val="left"/>
              </w:tabs>
              <w:ind/>
              <w:rPr>
                <w:color w:val="181818"/>
              </w:rPr>
            </w:pPr>
            <w:r>
              <w:rPr>
                <w:color w:val="181818"/>
              </w:rPr>
              <w:t>Наименование программы</w:t>
            </w:r>
          </w:p>
        </w:tc>
        <w:tc>
          <w:tcPr>
            <w:tcW w:type="dxa" w:w="69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C000000">
            <w:pPr>
              <w:tabs>
                <w:tab w:leader="none" w:pos="1535" w:val="left"/>
              </w:tabs>
              <w:ind/>
              <w:jc w:val="both"/>
              <w:rPr>
                <w:color w:val="181818"/>
              </w:rPr>
            </w:pPr>
            <w:r>
              <w:rPr>
                <w:color w:val="181818"/>
              </w:rPr>
              <w:t>Программа профилактики рисков причинения вреда (ущерба) охраняемым законом ценностям при осуществлении муниципального жилищного контроля (далее – программа профилактики)</w:t>
            </w:r>
          </w:p>
        </w:tc>
        <w:tc>
          <w:tcPr>
            <w:tcW w:type="dxa" w:w="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c>
          <w:tcPr>
            <w:tcW w:type="dxa" w:w="26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D000000">
            <w:pPr>
              <w:tabs>
                <w:tab w:leader="none" w:pos="1535" w:val="left"/>
              </w:tabs>
              <w:ind/>
              <w:rPr>
                <w:color w:val="181818"/>
              </w:rPr>
            </w:pPr>
            <w:r>
              <w:rPr>
                <w:color w:val="181818"/>
              </w:rPr>
              <w:t>Правовые основания разработки программы</w:t>
            </w:r>
          </w:p>
        </w:tc>
        <w:tc>
          <w:tcPr>
            <w:tcW w:type="dxa" w:w="69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E000000">
            <w:pPr>
              <w:tabs>
                <w:tab w:leader="none" w:pos="1535" w:val="left"/>
              </w:tabs>
              <w:ind/>
              <w:jc w:val="both"/>
              <w:rPr>
                <w:color w:val="181818"/>
              </w:rPr>
            </w:pPr>
            <w:r>
              <w:rPr>
                <w:color w:val="181818"/>
              </w:rPr>
              <w:t>Федеральный зако</w:t>
            </w:r>
            <w:r>
              <w:rPr>
                <w:color w:val="181818"/>
                <w:spacing w:val="345"/>
              </w:rPr>
              <w:t>н</w:t>
            </w:r>
            <w:r>
              <w:rPr>
                <w:color w:val="181818"/>
              </w:rPr>
              <w:t>о</w:t>
            </w:r>
            <w:r>
              <w:rPr>
                <w:color w:val="181818"/>
                <w:spacing w:val="345"/>
              </w:rPr>
              <w:t>т</w:t>
            </w:r>
            <w:r>
              <w:rPr>
                <w:color w:val="181818"/>
              </w:rPr>
              <w:t>31.07.202</w:t>
            </w:r>
            <w:r>
              <w:rPr>
                <w:color w:val="181818"/>
                <w:spacing w:val="345"/>
              </w:rPr>
              <w:t>0</w:t>
            </w:r>
            <w:r>
              <w:rPr>
                <w:color w:val="181818"/>
              </w:rPr>
              <w:t>№ 248-Ф</w:t>
            </w:r>
            <w:r>
              <w:rPr>
                <w:color w:val="181818"/>
                <w:spacing w:val="345"/>
              </w:rPr>
              <w:t>З</w:t>
            </w:r>
            <w:r>
              <w:rPr>
                <w:color w:val="181818"/>
              </w:rPr>
              <w:t>«О</w:t>
            </w:r>
            <w:r>
              <w:rPr>
                <w:color w:val="181818"/>
              </w:rPr>
              <w:t xml:space="preserve"> государственно</w:t>
            </w:r>
            <w:r>
              <w:rPr>
                <w:color w:val="181818"/>
                <w:spacing w:val="67"/>
              </w:rPr>
              <w:t>м</w:t>
            </w:r>
            <w:r>
              <w:rPr>
                <w:color w:val="181818"/>
              </w:rPr>
              <w:t>контрол</w:t>
            </w:r>
            <w:r>
              <w:rPr>
                <w:color w:val="181818"/>
                <w:spacing w:val="67"/>
              </w:rPr>
              <w:t>е</w:t>
            </w:r>
            <w:r>
              <w:rPr>
                <w:color w:val="181818"/>
              </w:rPr>
              <w:t>(надзоре</w:t>
            </w:r>
            <w:r>
              <w:rPr>
                <w:color w:val="181818"/>
                <w:spacing w:val="67"/>
              </w:rPr>
              <w:t>)и</w:t>
            </w:r>
            <w:r>
              <w:rPr>
                <w:color w:val="181818"/>
              </w:rPr>
              <w:t>муниципально</w:t>
            </w:r>
            <w:r>
              <w:rPr>
                <w:color w:val="181818"/>
                <w:spacing w:val="67"/>
              </w:rPr>
              <w:t>м</w:t>
            </w:r>
            <w:r>
              <w:rPr>
                <w:color w:val="181818"/>
              </w:rPr>
              <w:t xml:space="preserve">контроле </w:t>
            </w:r>
            <w:r>
              <w:rPr>
                <w:color w:val="181818"/>
                <w:spacing w:val="60"/>
              </w:rPr>
              <w:t>в</w:t>
            </w:r>
            <w:r>
              <w:rPr>
                <w:color w:val="181818"/>
              </w:rPr>
              <w:t>Российско</w:t>
            </w:r>
            <w:r>
              <w:rPr>
                <w:color w:val="181818"/>
                <w:spacing w:val="60"/>
              </w:rPr>
              <w:t>й</w:t>
            </w:r>
            <w:r>
              <w:rPr>
                <w:color w:val="181818"/>
              </w:rPr>
              <w:t xml:space="preserve">Федерации, </w:t>
            </w:r>
            <w:r>
              <w:rPr>
                <w:color w:val="181818"/>
                <w:highlight w:val="white"/>
              </w:rPr>
              <w:t>Федеральный закон от 11.06.2021</w:t>
            </w:r>
            <w:r>
              <w:rPr>
                <w:color w:val="181818"/>
                <w:highlight w:val="white"/>
              </w:rPr>
              <w:br/>
            </w:r>
            <w:r>
              <w:rPr>
                <w:color w:val="181818"/>
                <w:highlight w:val="white"/>
              </w:rPr>
              <w:t>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</w:t>
            </w:r>
          </w:p>
        </w:tc>
        <w:tc>
          <w:tcPr>
            <w:tcW w:type="dxa" w:w="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c>
          <w:tcPr>
            <w:tcW w:type="dxa" w:w="26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F000000">
            <w:pPr>
              <w:tabs>
                <w:tab w:leader="none" w:pos="1535" w:val="left"/>
              </w:tabs>
              <w:ind/>
              <w:rPr>
                <w:color w:val="181818"/>
              </w:rPr>
            </w:pPr>
            <w:r>
              <w:rPr>
                <w:color w:val="181818"/>
              </w:rPr>
              <w:t>Разработчик программы</w:t>
            </w:r>
          </w:p>
        </w:tc>
        <w:tc>
          <w:tcPr>
            <w:tcW w:type="dxa" w:w="69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0000000">
            <w:pPr>
              <w:ind/>
              <w:contextualSpacing w:val="1"/>
              <w:jc w:val="both"/>
              <w:rPr>
                <w:color w:val="181818"/>
              </w:rPr>
            </w:pPr>
            <w:r>
              <w:rPr>
                <w:color w:val="181818"/>
              </w:rPr>
              <w:t>Администрация Костино-Быстрянского</w:t>
            </w:r>
            <w:r>
              <w:rPr>
                <w:color w:val="181818"/>
              </w:rPr>
              <w:t xml:space="preserve"> сельского поселения</w:t>
            </w:r>
          </w:p>
          <w:p w14:paraId="31000000">
            <w:pPr>
              <w:ind/>
              <w:contextualSpacing w:val="1"/>
              <w:jc w:val="both"/>
              <w:rPr>
                <w:color w:val="181818"/>
              </w:rPr>
            </w:pPr>
            <w:r>
              <w:rPr>
                <w:color w:val="181818"/>
              </w:rPr>
              <w:t xml:space="preserve"> (далее – Администрация)</w:t>
            </w:r>
          </w:p>
          <w:p w14:paraId="32000000">
            <w:pPr>
              <w:ind/>
              <w:contextualSpacing w:val="1"/>
              <w:jc w:val="both"/>
              <w:rPr>
                <w:color w:val="181818"/>
              </w:rPr>
            </w:pPr>
          </w:p>
        </w:tc>
        <w:tc>
          <w:tcPr>
            <w:tcW w:type="dxa" w:w="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c>
          <w:tcPr>
            <w:tcW w:type="dxa" w:w="26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3000000">
            <w:pPr>
              <w:tabs>
                <w:tab w:leader="none" w:pos="1535" w:val="left"/>
              </w:tabs>
              <w:ind/>
              <w:rPr>
                <w:color w:val="181818"/>
              </w:rPr>
            </w:pPr>
            <w:r>
              <w:rPr>
                <w:color w:val="181818"/>
              </w:rPr>
              <w:t>Цель программы</w:t>
            </w:r>
          </w:p>
        </w:tc>
        <w:tc>
          <w:tcPr>
            <w:tcW w:type="dxa" w:w="69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4000000">
            <w:r>
              <w:t>1.</w:t>
            </w:r>
            <w:r>
              <w:t>Устранение причин, факторов и условий, способствующих причинению или возможному причинению вреда охраняемым законом ценностям и нарушению обязательных требований, снижение рисков их возникновения.</w:t>
            </w:r>
          </w:p>
          <w:p w14:paraId="35000000">
            <w:r>
              <w:t xml:space="preserve">2. Повышение </w:t>
            </w:r>
            <w:r>
              <w:t>эффективности защиты прав граждан</w:t>
            </w:r>
            <w:r>
              <w:t>.</w:t>
            </w:r>
          </w:p>
          <w:p w14:paraId="36000000">
            <w:r>
              <w:t>3. Повышение результативности и эффективности контрольной деятельности по муниципальному жилищному контролю.</w:t>
            </w:r>
          </w:p>
          <w:p w14:paraId="37000000">
            <w:pPr>
              <w:tabs>
                <w:tab w:leader="none" w:pos="1535" w:val="left"/>
              </w:tabs>
              <w:ind/>
              <w:jc w:val="both"/>
              <w:rPr>
                <w:color w:val="181818"/>
              </w:rPr>
            </w:pPr>
            <w:r>
              <w:t>4. Мотивация к соблюдению физическими лицами, юридическими лицами и индивидуальными предпринимателями обязательных требований и сокращение количества нарушений обязательных требований.</w:t>
            </w:r>
          </w:p>
        </w:tc>
        <w:tc>
          <w:tcPr>
            <w:tcW w:type="dxa" w:w="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c>
          <w:tcPr>
            <w:tcW w:type="dxa" w:w="26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8000000">
            <w:pPr>
              <w:tabs>
                <w:tab w:leader="none" w:pos="1535" w:val="left"/>
              </w:tabs>
              <w:ind/>
              <w:rPr>
                <w:color w:val="181818"/>
              </w:rPr>
            </w:pPr>
            <w:r>
              <w:rPr>
                <w:color w:val="181818"/>
              </w:rPr>
              <w:t>Задачи программы</w:t>
            </w:r>
          </w:p>
        </w:tc>
        <w:tc>
          <w:tcPr>
            <w:tcW w:type="dxa" w:w="69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9000000">
            <w:pPr>
              <w:tabs>
                <w:tab w:leader="none" w:pos="1535" w:val="left"/>
              </w:tabs>
              <w:ind/>
              <w:jc w:val="both"/>
              <w:rPr>
                <w:color w:val="181818"/>
              </w:rPr>
            </w:pPr>
            <w:r>
              <w:rPr>
                <w:color w:val="181818"/>
              </w:rPr>
              <w:t xml:space="preserve">1. </w:t>
            </w:r>
            <w:r>
              <w:rPr>
                <w:color w:val="181818"/>
              </w:rPr>
              <w:t>Предотвращение</w:t>
            </w:r>
            <w:r>
              <w:rPr>
                <w:color w:val="181818"/>
              </w:rPr>
              <w:t xml:space="preserve"> </w:t>
            </w:r>
            <w:r>
              <w:rPr>
                <w:color w:val="181818"/>
              </w:rPr>
              <w:t>рисков</w:t>
            </w:r>
            <w:r>
              <w:rPr>
                <w:color w:val="181818"/>
              </w:rPr>
              <w:t xml:space="preserve"> </w:t>
            </w:r>
            <w:r>
              <w:rPr>
                <w:color w:val="181818"/>
              </w:rPr>
              <w:t>причинения</w:t>
            </w:r>
            <w:r>
              <w:rPr>
                <w:color w:val="181818"/>
              </w:rPr>
              <w:t xml:space="preserve"> </w:t>
            </w:r>
            <w:r>
              <w:rPr>
                <w:color w:val="181818"/>
              </w:rPr>
              <w:t>вреда</w:t>
            </w:r>
            <w:r>
              <w:rPr>
                <w:color w:val="181818"/>
              </w:rPr>
              <w:t xml:space="preserve"> </w:t>
            </w:r>
            <w:r>
              <w:rPr>
                <w:color w:val="181818"/>
              </w:rPr>
              <w:t>охраняемым</w:t>
            </w:r>
            <w:r>
              <w:rPr>
                <w:color w:val="181818"/>
              </w:rPr>
              <w:t xml:space="preserve"> </w:t>
            </w:r>
            <w:r>
              <w:rPr>
                <w:color w:val="181818"/>
              </w:rPr>
              <w:t>законом</w:t>
            </w:r>
            <w:r>
              <w:rPr>
                <w:color w:val="181818"/>
              </w:rPr>
              <w:t xml:space="preserve"> </w:t>
            </w:r>
            <w:r>
              <w:rPr>
                <w:color w:val="181818"/>
              </w:rPr>
              <w:t xml:space="preserve">ценностям. </w:t>
            </w:r>
          </w:p>
          <w:p w14:paraId="3A000000">
            <w:pPr>
              <w:tabs>
                <w:tab w:leader="none" w:pos="1535" w:val="left"/>
              </w:tabs>
              <w:ind/>
              <w:jc w:val="both"/>
              <w:rPr>
                <w:color w:val="181818"/>
              </w:rPr>
            </w:pPr>
            <w:r>
              <w:rPr>
                <w:color w:val="181818"/>
              </w:rPr>
              <w:t>2. Проведение</w:t>
            </w:r>
            <w:r>
              <w:rPr>
                <w:color w:val="181818"/>
              </w:rPr>
              <w:t xml:space="preserve"> </w:t>
            </w:r>
            <w:r>
              <w:rPr>
                <w:color w:val="181818"/>
              </w:rPr>
              <w:t>профилактических</w:t>
            </w:r>
            <w:r>
              <w:rPr>
                <w:color w:val="181818"/>
              </w:rPr>
              <w:t xml:space="preserve"> </w:t>
            </w:r>
            <w:r>
              <w:rPr>
                <w:color w:val="181818"/>
              </w:rPr>
              <w:t>мероприятий,</w:t>
            </w:r>
            <w:r>
              <w:rPr>
                <w:color w:val="181818"/>
              </w:rPr>
              <w:t xml:space="preserve"> </w:t>
            </w:r>
            <w:r>
              <w:rPr>
                <w:color w:val="181818"/>
              </w:rPr>
              <w:t>направленных</w:t>
            </w:r>
            <w:r>
              <w:rPr>
                <w:color w:val="181818"/>
              </w:rPr>
              <w:t xml:space="preserve"> </w:t>
            </w:r>
            <w:r>
              <w:rPr>
                <w:color w:val="181818"/>
              </w:rPr>
              <w:t>на</w:t>
            </w:r>
            <w:r>
              <w:rPr>
                <w:color w:val="181818"/>
              </w:rPr>
              <w:t xml:space="preserve"> </w:t>
            </w:r>
            <w:r>
              <w:rPr>
                <w:color w:val="181818"/>
              </w:rPr>
              <w:t>предотвращение</w:t>
            </w:r>
            <w:r>
              <w:rPr>
                <w:color w:val="181818"/>
              </w:rPr>
              <w:t xml:space="preserve"> </w:t>
            </w:r>
            <w:r>
              <w:rPr>
                <w:color w:val="181818"/>
              </w:rPr>
              <w:t>причинения</w:t>
            </w:r>
            <w:r>
              <w:rPr>
                <w:color w:val="181818"/>
              </w:rPr>
              <w:t xml:space="preserve"> </w:t>
            </w:r>
            <w:r>
              <w:rPr>
                <w:color w:val="181818"/>
              </w:rPr>
              <w:t>вреда</w:t>
            </w:r>
            <w:r>
              <w:rPr>
                <w:color w:val="181818"/>
              </w:rPr>
              <w:t xml:space="preserve"> </w:t>
            </w:r>
            <w:r>
              <w:rPr>
                <w:color w:val="181818"/>
              </w:rPr>
              <w:t>охраняемым</w:t>
            </w:r>
            <w:r>
              <w:rPr>
                <w:color w:val="181818"/>
              </w:rPr>
              <w:t xml:space="preserve"> </w:t>
            </w:r>
            <w:r>
              <w:rPr>
                <w:color w:val="181818"/>
              </w:rPr>
              <w:t>законом</w:t>
            </w:r>
            <w:r>
              <w:rPr>
                <w:color w:val="181818"/>
              </w:rPr>
              <w:t xml:space="preserve"> </w:t>
            </w:r>
            <w:r>
              <w:rPr>
                <w:color w:val="181818"/>
              </w:rPr>
              <w:t xml:space="preserve">ценностям. </w:t>
            </w:r>
          </w:p>
          <w:p w14:paraId="3B000000">
            <w:pPr>
              <w:tabs>
                <w:tab w:leader="none" w:pos="1535" w:val="left"/>
              </w:tabs>
              <w:ind/>
              <w:jc w:val="both"/>
              <w:rPr>
                <w:color w:val="181818"/>
              </w:rPr>
            </w:pPr>
            <w:r>
              <w:rPr>
                <w:color w:val="181818"/>
              </w:rPr>
              <w:t>3. Информирование,</w:t>
            </w:r>
            <w:r>
              <w:rPr>
                <w:color w:val="181818"/>
              </w:rPr>
              <w:t xml:space="preserve"> </w:t>
            </w:r>
            <w:r>
              <w:rPr>
                <w:color w:val="181818"/>
              </w:rPr>
              <w:t>консультирование</w:t>
            </w:r>
            <w:r>
              <w:rPr>
                <w:color w:val="181818"/>
              </w:rPr>
              <w:t xml:space="preserve"> </w:t>
            </w:r>
            <w:r>
              <w:rPr>
                <w:color w:val="181818"/>
              </w:rPr>
              <w:t>контролируемых</w:t>
            </w:r>
            <w:r>
              <w:rPr>
                <w:color w:val="181818"/>
              </w:rPr>
              <w:t xml:space="preserve"> </w:t>
            </w:r>
            <w:r>
              <w:rPr>
                <w:color w:val="181818"/>
              </w:rPr>
              <w:t>лиц</w:t>
            </w:r>
            <w:r>
              <w:rPr>
                <w:color w:val="181818"/>
              </w:rPr>
              <w:t xml:space="preserve"> </w:t>
            </w:r>
            <w:r>
              <w:rPr>
                <w:color w:val="181818"/>
              </w:rPr>
              <w:t>с</w:t>
            </w:r>
            <w:r>
              <w:rPr>
                <w:color w:val="181818"/>
              </w:rPr>
              <w:t xml:space="preserve"> </w:t>
            </w:r>
            <w:r>
              <w:rPr>
                <w:color w:val="181818"/>
              </w:rPr>
              <w:t>использованием</w:t>
            </w:r>
            <w:r>
              <w:rPr>
                <w:color w:val="181818"/>
              </w:rPr>
              <w:t xml:space="preserve"> </w:t>
            </w:r>
            <w:r>
              <w:rPr>
                <w:color w:val="181818"/>
              </w:rPr>
              <w:t>информационно-телекоммуникационных</w:t>
            </w:r>
            <w:r>
              <w:rPr>
                <w:color w:val="181818"/>
              </w:rPr>
              <w:t xml:space="preserve"> </w:t>
            </w:r>
            <w:r>
              <w:rPr>
                <w:color w:val="181818"/>
              </w:rPr>
              <w:t xml:space="preserve">технологий. </w:t>
            </w:r>
          </w:p>
          <w:p w14:paraId="3C000000">
            <w:pPr>
              <w:tabs>
                <w:tab w:leader="none" w:pos="1535" w:val="left"/>
              </w:tabs>
              <w:ind/>
              <w:jc w:val="both"/>
              <w:rPr>
                <w:color w:val="181818"/>
              </w:rPr>
            </w:pPr>
            <w:r>
              <w:rPr>
                <w:color w:val="181818"/>
              </w:rPr>
              <w:t>4. Обеспечение</w:t>
            </w:r>
            <w:r>
              <w:rPr>
                <w:color w:val="181818"/>
              </w:rPr>
              <w:t xml:space="preserve"> </w:t>
            </w:r>
            <w:r>
              <w:rPr>
                <w:color w:val="181818"/>
              </w:rPr>
              <w:t>доступности</w:t>
            </w:r>
            <w:r>
              <w:rPr>
                <w:color w:val="181818"/>
              </w:rPr>
              <w:t xml:space="preserve"> </w:t>
            </w:r>
            <w:r>
              <w:rPr>
                <w:color w:val="181818"/>
              </w:rPr>
              <w:t>информации</w:t>
            </w:r>
            <w:r>
              <w:rPr>
                <w:color w:val="181818"/>
              </w:rPr>
              <w:t xml:space="preserve"> </w:t>
            </w:r>
            <w:r>
              <w:rPr>
                <w:color w:val="181818"/>
              </w:rPr>
              <w:t>об</w:t>
            </w:r>
            <w:r>
              <w:rPr>
                <w:color w:val="181818"/>
              </w:rPr>
              <w:t xml:space="preserve"> </w:t>
            </w:r>
            <w:r>
              <w:rPr>
                <w:color w:val="181818"/>
              </w:rPr>
              <w:t>обязательных</w:t>
            </w:r>
            <w:r>
              <w:rPr>
                <w:color w:val="181818"/>
              </w:rPr>
              <w:t xml:space="preserve"> </w:t>
            </w:r>
            <w:r>
              <w:rPr>
                <w:color w:val="181818"/>
              </w:rPr>
              <w:t>требованиях</w:t>
            </w:r>
            <w:r>
              <w:rPr>
                <w:color w:val="181818"/>
              </w:rPr>
              <w:t xml:space="preserve"> </w:t>
            </w:r>
            <w:r>
              <w:rPr>
                <w:color w:val="181818"/>
              </w:rPr>
              <w:t>и</w:t>
            </w:r>
            <w:r>
              <w:rPr>
                <w:color w:val="181818"/>
              </w:rPr>
              <w:t xml:space="preserve"> </w:t>
            </w:r>
            <w:r>
              <w:rPr>
                <w:color w:val="181818"/>
              </w:rPr>
              <w:t>необходимых</w:t>
            </w:r>
            <w:r>
              <w:rPr>
                <w:color w:val="181818"/>
              </w:rPr>
              <w:t xml:space="preserve"> </w:t>
            </w:r>
            <w:r>
              <w:rPr>
                <w:color w:val="181818"/>
              </w:rPr>
              <w:t>мерах</w:t>
            </w:r>
            <w:r>
              <w:rPr>
                <w:color w:val="181818"/>
              </w:rPr>
              <w:t xml:space="preserve"> </w:t>
            </w:r>
            <w:r>
              <w:rPr>
                <w:color w:val="181818"/>
              </w:rPr>
              <w:t>по</w:t>
            </w:r>
            <w:r>
              <w:rPr>
                <w:color w:val="181818"/>
              </w:rPr>
              <w:t xml:space="preserve"> </w:t>
            </w:r>
            <w:r>
              <w:rPr>
                <w:color w:val="181818"/>
              </w:rPr>
              <w:t>их</w:t>
            </w:r>
            <w:r>
              <w:rPr>
                <w:color w:val="181818"/>
              </w:rPr>
              <w:t xml:space="preserve"> </w:t>
            </w:r>
            <w:r>
              <w:rPr>
                <w:color w:val="181818"/>
              </w:rPr>
              <w:t>исполнению</w:t>
            </w:r>
          </w:p>
        </w:tc>
        <w:tc>
          <w:tcPr>
            <w:tcW w:type="dxa" w:w="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c>
          <w:tcPr>
            <w:tcW w:type="dxa" w:w="26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D000000">
            <w:pPr>
              <w:tabs>
                <w:tab w:leader="none" w:pos="1535" w:val="left"/>
              </w:tabs>
              <w:ind/>
              <w:rPr>
                <w:color w:val="181818"/>
              </w:rPr>
            </w:pPr>
            <w:r>
              <w:rPr>
                <w:color w:val="181818"/>
              </w:rPr>
              <w:t>Срок реализации программы профилактики</w:t>
            </w:r>
          </w:p>
        </w:tc>
        <w:tc>
          <w:tcPr>
            <w:tcW w:type="dxa" w:w="69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E000000">
            <w:pPr>
              <w:tabs>
                <w:tab w:leader="none" w:pos="1535" w:val="left"/>
              </w:tabs>
              <w:ind/>
              <w:rPr>
                <w:color w:val="181818"/>
              </w:rPr>
            </w:pPr>
            <w:r>
              <w:rPr>
                <w:color w:val="181818"/>
              </w:rPr>
              <w:t>2022 год</w:t>
            </w:r>
          </w:p>
          <w:p w14:paraId="3F000000">
            <w:pPr>
              <w:tabs>
                <w:tab w:leader="none" w:pos="1535" w:val="left"/>
              </w:tabs>
              <w:ind/>
              <w:rPr>
                <w:color w:val="181818"/>
              </w:rPr>
            </w:pPr>
          </w:p>
          <w:p w14:paraId="40000000">
            <w:pPr>
              <w:tabs>
                <w:tab w:leader="none" w:pos="1535" w:val="left"/>
              </w:tabs>
              <w:ind/>
              <w:rPr>
                <w:color w:val="181818"/>
              </w:rPr>
            </w:pPr>
          </w:p>
          <w:p w14:paraId="41000000">
            <w:pPr>
              <w:tabs>
                <w:tab w:leader="none" w:pos="1535" w:val="left"/>
              </w:tabs>
              <w:ind/>
              <w:rPr>
                <w:color w:val="181818"/>
              </w:rPr>
            </w:pPr>
          </w:p>
        </w:tc>
        <w:tc>
          <w:tcPr>
            <w:tcW w:type="dxa" w:w="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c>
          <w:tcPr>
            <w:tcW w:type="dxa" w:w="26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2000000">
            <w:pPr>
              <w:tabs>
                <w:tab w:leader="none" w:pos="1535" w:val="left"/>
              </w:tabs>
              <w:ind w:right="-229"/>
              <w:rPr>
                <w:color w:val="181818"/>
              </w:rPr>
            </w:pPr>
            <w:r>
              <w:rPr>
                <w:color w:val="181818"/>
              </w:rPr>
              <w:t>Ожидаемые результаты реализации программы</w:t>
            </w:r>
          </w:p>
        </w:tc>
        <w:tc>
          <w:tcPr>
            <w:tcW w:type="dxa" w:w="703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3000000">
            <w:pPr>
              <w:tabs>
                <w:tab w:leader="none" w:pos="1535" w:val="left"/>
              </w:tabs>
              <w:ind/>
              <w:jc w:val="both"/>
              <w:rPr>
                <w:color w:val="181818"/>
              </w:rPr>
            </w:pPr>
            <w:r>
              <w:rPr>
                <w:color w:val="181818"/>
              </w:rPr>
              <w:t>1.</w:t>
            </w:r>
            <w:r>
              <w:rPr>
                <w:color w:val="181818"/>
              </w:rPr>
              <w:t>Увеличение</w:t>
            </w:r>
            <w:r>
              <w:rPr>
                <w:color w:val="181818"/>
              </w:rPr>
              <w:t xml:space="preserve"> </w:t>
            </w:r>
            <w:r>
              <w:rPr>
                <w:color w:val="181818"/>
              </w:rPr>
              <w:t>числа</w:t>
            </w:r>
            <w:r>
              <w:rPr>
                <w:color w:val="181818"/>
              </w:rPr>
              <w:t xml:space="preserve"> </w:t>
            </w:r>
            <w:r>
              <w:rPr>
                <w:color w:val="181818"/>
              </w:rPr>
              <w:t>контролируемых</w:t>
            </w:r>
            <w:r>
              <w:rPr>
                <w:color w:val="181818"/>
              </w:rPr>
              <w:t xml:space="preserve"> </w:t>
            </w:r>
            <w:r>
              <w:rPr>
                <w:color w:val="181818"/>
              </w:rPr>
              <w:t>лиц,</w:t>
            </w:r>
            <w:r>
              <w:rPr>
                <w:color w:val="181818"/>
              </w:rPr>
              <w:t xml:space="preserve"> </w:t>
            </w:r>
            <w:r>
              <w:rPr>
                <w:color w:val="181818"/>
              </w:rPr>
              <w:t xml:space="preserve">соблюдающих </w:t>
            </w:r>
            <w:r>
              <w:rPr>
                <w:color w:val="181818"/>
              </w:rPr>
              <w:t>п</w:t>
            </w:r>
            <w:r>
              <w:rPr>
                <w:color w:val="181818"/>
              </w:rPr>
              <w:t>ри</w:t>
            </w:r>
            <w:r>
              <w:rPr>
                <w:color w:val="181818"/>
              </w:rPr>
              <w:t xml:space="preserve"> </w:t>
            </w:r>
            <w:r>
              <w:rPr>
                <w:color w:val="181818"/>
              </w:rPr>
              <w:t>осуществлении</w:t>
            </w:r>
            <w:r>
              <w:rPr>
                <w:color w:val="181818"/>
              </w:rPr>
              <w:t xml:space="preserve"> </w:t>
            </w:r>
            <w:r>
              <w:rPr>
                <w:color w:val="181818"/>
              </w:rPr>
              <w:t>деятельности</w:t>
            </w:r>
            <w:r>
              <w:rPr>
                <w:color w:val="181818"/>
              </w:rPr>
              <w:t xml:space="preserve"> </w:t>
            </w:r>
            <w:r>
              <w:rPr>
                <w:color w:val="181818"/>
              </w:rPr>
              <w:t>обязательные</w:t>
            </w:r>
            <w:r>
              <w:rPr>
                <w:color w:val="181818"/>
              </w:rPr>
              <w:t xml:space="preserve"> </w:t>
            </w:r>
            <w:r>
              <w:rPr>
                <w:color w:val="181818"/>
              </w:rPr>
              <w:t xml:space="preserve">требования </w:t>
            </w:r>
            <w:r>
              <w:rPr>
                <w:color w:val="181818"/>
              </w:rPr>
              <w:t xml:space="preserve">жилищного законодательства, </w:t>
            </w:r>
            <w:r>
              <w:rPr>
                <w:color w:val="181818"/>
              </w:rPr>
              <w:t>в</w:t>
            </w:r>
            <w:r>
              <w:rPr>
                <w:color w:val="181818"/>
              </w:rPr>
              <w:t xml:space="preserve"> </w:t>
            </w:r>
            <w:r>
              <w:rPr>
                <w:color w:val="181818"/>
              </w:rPr>
              <w:t>том числе</w:t>
            </w:r>
            <w:r>
              <w:rPr>
                <w:color w:val="181818"/>
              </w:rPr>
              <w:t xml:space="preserve"> </w:t>
            </w:r>
            <w:r>
              <w:rPr>
                <w:color w:val="181818"/>
              </w:rPr>
              <w:t>за</w:t>
            </w:r>
            <w:r>
              <w:rPr>
                <w:color w:val="181818"/>
              </w:rPr>
              <w:t xml:space="preserve"> </w:t>
            </w:r>
            <w:r>
              <w:rPr>
                <w:color w:val="181818"/>
              </w:rPr>
              <w:t>обеспечением</w:t>
            </w:r>
            <w:r>
              <w:rPr>
                <w:color w:val="181818"/>
              </w:rPr>
              <w:t xml:space="preserve"> надлежащего содержания общего имущества собственников помещений в многоквартирных домах.</w:t>
            </w:r>
          </w:p>
          <w:p w14:paraId="44000000">
            <w:pPr>
              <w:tabs>
                <w:tab w:leader="none" w:pos="1535" w:val="left"/>
              </w:tabs>
              <w:ind/>
              <w:jc w:val="both"/>
              <w:rPr>
                <w:color w:val="181818"/>
              </w:rPr>
            </w:pPr>
            <w:r>
              <w:rPr>
                <w:color w:val="181818"/>
              </w:rPr>
              <w:t>2.</w:t>
            </w:r>
            <w:r>
              <w:rPr>
                <w:color w:val="181818"/>
              </w:rPr>
              <w:t>Повышение</w:t>
            </w:r>
            <w:r>
              <w:rPr>
                <w:color w:val="181818"/>
              </w:rPr>
              <w:t xml:space="preserve"> </w:t>
            </w:r>
            <w:r>
              <w:rPr>
                <w:color w:val="181818"/>
              </w:rPr>
              <w:t>качества</w:t>
            </w:r>
            <w:r>
              <w:rPr>
                <w:color w:val="181818"/>
              </w:rPr>
              <w:t xml:space="preserve"> предоставляемых услуг населению.</w:t>
            </w:r>
          </w:p>
          <w:p w14:paraId="45000000">
            <w:pPr>
              <w:ind/>
              <w:jc w:val="both"/>
            </w:pPr>
            <w:r>
              <w:rPr>
                <w:color w:val="181818"/>
              </w:rPr>
              <w:t>3</w:t>
            </w:r>
            <w:r>
              <w:rPr>
                <w:color w:val="181818"/>
              </w:rPr>
              <w:t>.</w:t>
            </w:r>
            <w:r>
              <w:t>Выявление и устранение причин и условий, способствующих совершению физическими лицами юридическими лицами, индивидуальными предпринимателями наиболее распространенных нарушений законодательства в сфере муниципального жилищного контроля</w:t>
            </w:r>
            <w:r>
              <w:t>.</w:t>
            </w:r>
          </w:p>
          <w:p w14:paraId="46000000">
            <w:pPr>
              <w:tabs>
                <w:tab w:leader="none" w:pos="1535" w:val="left"/>
              </w:tabs>
              <w:ind/>
              <w:jc w:val="both"/>
              <w:rPr>
                <w:color w:val="181818"/>
              </w:rPr>
            </w:pPr>
            <w:r>
              <w:t>4.</w:t>
            </w:r>
            <w:r>
              <w:t>Повышение прозрачности системы контрольной деятельности.</w:t>
            </w:r>
          </w:p>
        </w:tc>
      </w:tr>
    </w:tbl>
    <w:p w14:paraId="47000000">
      <w:pPr>
        <w:pStyle w:val="Style_6"/>
        <w:spacing w:before="220"/>
        <w:ind w:firstLine="539"/>
        <w:contextualSpacing w:val="1"/>
        <w:jc w:val="center"/>
        <w:rPr>
          <w:rFonts w:ascii="Times New Roman" w:hAnsi="Times New Roman"/>
          <w:b w:val="1"/>
          <w:color w:val="181818"/>
          <w:sz w:val="28"/>
        </w:rPr>
      </w:pPr>
      <w:r>
        <w:rPr>
          <w:rFonts w:ascii="Times New Roman" w:hAnsi="Times New Roman"/>
          <w:b w:val="1"/>
          <w:color w:val="181818"/>
          <w:sz w:val="28"/>
        </w:rPr>
        <w:t>1. Анализ текущего состояния осуществления муниципального</w:t>
      </w:r>
    </w:p>
    <w:p w14:paraId="48000000">
      <w:pPr>
        <w:pStyle w:val="Style_6"/>
        <w:spacing w:before="220"/>
        <w:ind w:firstLine="539"/>
        <w:contextualSpacing w:val="1"/>
        <w:jc w:val="center"/>
        <w:rPr>
          <w:rFonts w:ascii="Times New Roman" w:hAnsi="Times New Roman"/>
          <w:b w:val="1"/>
          <w:color w:val="181818"/>
          <w:sz w:val="28"/>
        </w:rPr>
      </w:pPr>
      <w:r>
        <w:rPr>
          <w:rFonts w:ascii="Times New Roman" w:hAnsi="Times New Roman"/>
          <w:b w:val="1"/>
          <w:color w:val="181818"/>
          <w:sz w:val="28"/>
        </w:rPr>
        <w:t>жилищного контроля</w:t>
      </w:r>
    </w:p>
    <w:p w14:paraId="49000000">
      <w:pPr>
        <w:pStyle w:val="Style_6"/>
        <w:spacing w:before="220"/>
        <w:ind w:firstLine="539"/>
        <w:contextualSpacing w:val="1"/>
        <w:jc w:val="center"/>
        <w:rPr>
          <w:rFonts w:ascii="Times New Roman" w:hAnsi="Times New Roman"/>
          <w:b w:val="1"/>
          <w:color w:val="181818"/>
          <w:sz w:val="24"/>
        </w:rPr>
      </w:pPr>
    </w:p>
    <w:p w14:paraId="4A000000">
      <w:pPr>
        <w:ind/>
        <w:contextualSpacing w:val="1"/>
        <w:jc w:val="both"/>
        <w:rPr>
          <w:color w:val="181818"/>
          <w:sz w:val="28"/>
        </w:rPr>
      </w:pPr>
      <w:r>
        <w:rPr>
          <w:color w:val="181818"/>
          <w:sz w:val="28"/>
        </w:rPr>
        <w:t xml:space="preserve">       </w:t>
      </w:r>
      <w:r>
        <w:rPr>
          <w:color w:val="181818"/>
          <w:sz w:val="28"/>
        </w:rPr>
        <w:t xml:space="preserve">1.1. В зависимости от объекта, в отношении которого осуществляется муниципальный жилищный контроль, выделяются следующие типы контролируемых лиц: </w:t>
      </w:r>
    </w:p>
    <w:p w14:paraId="4B000000">
      <w:pPr>
        <w:ind w:firstLine="709"/>
        <w:contextualSpacing w:val="1"/>
        <w:jc w:val="both"/>
        <w:rPr>
          <w:color w:val="181818"/>
          <w:sz w:val="28"/>
        </w:rPr>
      </w:pPr>
      <w:r>
        <w:rPr>
          <w:color w:val="181818"/>
          <w:sz w:val="28"/>
        </w:rPr>
        <w:t>- юридические лица и индивидуальные предприниматели, осуществляющие управление многоквартирными домами, в которых имеются жилые помещения муниципальной формы собственности;</w:t>
      </w:r>
    </w:p>
    <w:p w14:paraId="4C000000">
      <w:pPr>
        <w:ind w:firstLine="709"/>
        <w:contextualSpacing w:val="1"/>
        <w:jc w:val="both"/>
        <w:rPr>
          <w:color w:val="181818"/>
          <w:sz w:val="28"/>
        </w:rPr>
      </w:pPr>
      <w:r>
        <w:rPr>
          <w:color w:val="181818"/>
          <w:sz w:val="28"/>
        </w:rPr>
        <w:t>- граждане, осуществляющие пользование помещениями муниципального жилищного фонда на основании договоров найма жилых помещений.</w:t>
      </w:r>
    </w:p>
    <w:p w14:paraId="4D000000">
      <w:pPr>
        <w:ind/>
        <w:jc w:val="both"/>
        <w:rPr>
          <w:color w:val="181818"/>
          <w:sz w:val="28"/>
        </w:rPr>
      </w:pPr>
      <w:r>
        <w:rPr>
          <w:color w:val="181818"/>
          <w:sz w:val="28"/>
        </w:rPr>
        <w:t xml:space="preserve">       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14:paraId="4E000000">
      <w:pPr>
        <w:ind/>
        <w:jc w:val="both"/>
        <w:rPr>
          <w:color w:val="181818"/>
          <w:sz w:val="28"/>
        </w:rPr>
      </w:pPr>
      <w:r>
        <w:rPr>
          <w:color w:val="181818"/>
          <w:sz w:val="28"/>
        </w:rPr>
        <w:t xml:space="preserve">       - организации и проведения мероприятий по профилактике рисков причинения вреда (ущерба) охраняемым законом ценностям;</w:t>
      </w:r>
    </w:p>
    <w:p w14:paraId="4F000000">
      <w:pPr>
        <w:ind/>
        <w:jc w:val="both"/>
        <w:rPr>
          <w:color w:val="181818"/>
          <w:sz w:val="28"/>
        </w:rPr>
      </w:pPr>
      <w:r>
        <w:rPr>
          <w:color w:val="181818"/>
          <w:sz w:val="28"/>
        </w:rPr>
        <w:t xml:space="preserve">       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14:paraId="50000000">
      <w:pPr>
        <w:ind/>
        <w:jc w:val="both"/>
        <w:rPr>
          <w:color w:val="181818"/>
          <w:sz w:val="28"/>
        </w:rPr>
      </w:pPr>
      <w:r>
        <w:rPr>
          <w:b w:val="1"/>
          <w:color w:val="181818"/>
          <w:sz w:val="28"/>
        </w:rPr>
        <w:t xml:space="preserve">      </w:t>
      </w:r>
      <w:r>
        <w:rPr>
          <w:color w:val="181818"/>
          <w:sz w:val="28"/>
        </w:rPr>
        <w:t>1.2.  Обзор по виду муниципального контроля.</w:t>
      </w:r>
    </w:p>
    <w:p w14:paraId="51000000">
      <w:pPr>
        <w:ind/>
        <w:jc w:val="both"/>
        <w:rPr>
          <w:color w:val="181818"/>
          <w:sz w:val="28"/>
        </w:rPr>
      </w:pPr>
      <w:r>
        <w:rPr>
          <w:color w:val="181818"/>
          <w:sz w:val="28"/>
        </w:rPr>
        <w:t xml:space="preserve">Муниципальный жилищный контроль - это деятельность органа местного самоуправления, уполномоченного на организацию и проведение на территории </w:t>
      </w:r>
      <w:r>
        <w:rPr>
          <w:color w:val="181818"/>
          <w:sz w:val="28"/>
        </w:rPr>
        <w:t xml:space="preserve">муниципального образования «Костино-Быстрянское сельское поселение» </w:t>
      </w:r>
      <w:r>
        <w:rPr>
          <w:color w:val="181818"/>
          <w:sz w:val="28"/>
        </w:rPr>
        <w:t xml:space="preserve"> проверок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отношений, а также муниципальными правовыми актами.   </w:t>
      </w:r>
    </w:p>
    <w:p w14:paraId="52000000">
      <w:pPr>
        <w:ind/>
        <w:jc w:val="both"/>
        <w:rPr>
          <w:color w:val="181818"/>
          <w:sz w:val="28"/>
        </w:rPr>
      </w:pPr>
      <w:r>
        <w:rPr>
          <w:color w:val="181818"/>
          <w:sz w:val="28"/>
        </w:rPr>
        <w:t xml:space="preserve">       1.3. Подконтрольные субъекты:</w:t>
      </w:r>
    </w:p>
    <w:p w14:paraId="53000000">
      <w:pPr>
        <w:ind/>
        <w:jc w:val="both"/>
        <w:rPr>
          <w:color w:val="181818"/>
          <w:sz w:val="28"/>
        </w:rPr>
      </w:pPr>
      <w:r>
        <w:rPr>
          <w:color w:val="181818"/>
          <w:sz w:val="28"/>
        </w:rPr>
        <w:t xml:space="preserve">      - юридические лица, индивидуальные предприниматели и граждане, осуществляющие эксплуатацию </w:t>
      </w:r>
      <w:r>
        <w:rPr>
          <w:color w:val="181818"/>
          <w:sz w:val="28"/>
        </w:rPr>
        <w:t xml:space="preserve">муниципального </w:t>
      </w:r>
      <w:r>
        <w:rPr>
          <w:color w:val="181818"/>
          <w:sz w:val="28"/>
        </w:rPr>
        <w:t>жилищного фонда.</w:t>
      </w:r>
    </w:p>
    <w:p w14:paraId="54000000">
      <w:pPr>
        <w:ind/>
        <w:jc w:val="both"/>
        <w:rPr>
          <w:color w:val="181818"/>
          <w:sz w:val="28"/>
        </w:rPr>
      </w:pPr>
      <w:r>
        <w:rPr>
          <w:color w:val="181818"/>
          <w:sz w:val="28"/>
        </w:rPr>
        <w:t xml:space="preserve">      </w:t>
      </w:r>
      <w:r>
        <w:rPr>
          <w:color w:val="181818"/>
          <w:sz w:val="28"/>
        </w:rPr>
        <w:t xml:space="preserve"> </w:t>
      </w:r>
      <w:r>
        <w:rPr>
          <w:color w:val="181818"/>
          <w:sz w:val="28"/>
        </w:rPr>
        <w:t>1.4. Анализ и оценка рисков причинения вреда охраняемым законом ценностям.</w:t>
      </w:r>
    </w:p>
    <w:p w14:paraId="55000000">
      <w:pPr>
        <w:ind w:firstLine="720"/>
        <w:jc w:val="both"/>
        <w:rPr>
          <w:color w:val="181818"/>
          <w:sz w:val="28"/>
        </w:rPr>
      </w:pPr>
      <w:r>
        <w:rPr>
          <w:color w:val="181818"/>
          <w:sz w:val="28"/>
        </w:rPr>
        <w:t xml:space="preserve">Мониторинг состояния подконтрольных субъектов в сфере жилищного законодательства выявил, что ключевыми и наиболее значимыми рисками </w:t>
      </w:r>
      <w:r>
        <w:rPr>
          <w:color w:val="181818"/>
          <w:sz w:val="28"/>
        </w:rPr>
        <w:t>являются нарушения, предусмотренные частью 2 статьи 162 Жилищного кодекса Российской Федерации, а именно - ненадлежащее исполнение услуги по управлению многоквартирным домом и (или) выполнение работ по содержанию и ремонту общего имущества в таком доме.</w:t>
      </w:r>
    </w:p>
    <w:p w14:paraId="56000000">
      <w:pPr>
        <w:ind w:firstLine="720"/>
        <w:jc w:val="both"/>
        <w:rPr>
          <w:color w:val="181818"/>
          <w:sz w:val="28"/>
        </w:rPr>
      </w:pPr>
      <w:r>
        <w:rPr>
          <w:color w:val="181818"/>
          <w:sz w:val="28"/>
        </w:rPr>
        <w:t>Одной из причин вышеуказанных нарушений является различное толкование юридическими лицами и индивидуальными предпринимателями действующего жилищного законодательства и позиция подконтрольных субъектов о необязательности соблюдения этих требований.</w:t>
      </w:r>
    </w:p>
    <w:p w14:paraId="57000000">
      <w:pPr>
        <w:ind w:firstLine="720"/>
        <w:jc w:val="both"/>
        <w:rPr>
          <w:color w:val="181818"/>
          <w:sz w:val="28"/>
        </w:rPr>
      </w:pPr>
      <w:r>
        <w:rPr>
          <w:color w:val="181818"/>
          <w:sz w:val="28"/>
        </w:rPr>
        <w:t>Наиболее значимым риском является факт причинения вреда объектам жилищного фонда вследствие нарушения жилищного законодательства, контролируемым лицом, в том числе вследствие действий (бездействия) должностных лиц контролируемого лица, и (или) иными лицами, действующими на основании договорных отношений с контролируемым лицом.</w:t>
      </w:r>
    </w:p>
    <w:p w14:paraId="58000000">
      <w:pPr>
        <w:ind w:firstLine="540"/>
        <w:jc w:val="both"/>
        <w:rPr>
          <w:color w:val="181818"/>
          <w:sz w:val="28"/>
        </w:rPr>
      </w:pPr>
      <w:r>
        <w:rPr>
          <w:color w:val="181818"/>
          <w:sz w:val="28"/>
        </w:rPr>
        <w:t>Проведение профилактических мероприятий, направленных на соблюдение подконтрольными субъектами обязательных требований жилищного законодательства, на побуждение подконтрольных субъектов к добросовестности, будет способствовать повышению их ответственности, а также снижению количества совершаемых нарушений. </w:t>
      </w:r>
    </w:p>
    <w:p w14:paraId="59000000">
      <w:pPr>
        <w:ind w:firstLine="709"/>
        <w:contextualSpacing w:val="1"/>
        <w:jc w:val="both"/>
        <w:rPr>
          <w:color w:val="181818"/>
          <w:sz w:val="28"/>
        </w:rPr>
      </w:pPr>
    </w:p>
    <w:p w14:paraId="5A000000">
      <w:pPr>
        <w:pStyle w:val="Style_6"/>
        <w:ind w:firstLine="540"/>
        <w:contextualSpacing w:val="1"/>
        <w:jc w:val="center"/>
        <w:rPr>
          <w:rFonts w:ascii="PT Astra Serif" w:hAnsi="PT Astra Serif"/>
          <w:b w:val="1"/>
          <w:color w:val="181818"/>
          <w:sz w:val="28"/>
        </w:rPr>
      </w:pPr>
      <w:r>
        <w:rPr>
          <w:rFonts w:ascii="PT Astra Serif" w:hAnsi="PT Astra Serif"/>
          <w:b w:val="1"/>
          <w:color w:val="181818"/>
          <w:sz w:val="28"/>
        </w:rPr>
        <w:t>2. Характеристика проблем, на решение которых направлена</w:t>
      </w:r>
    </w:p>
    <w:p w14:paraId="5B000000">
      <w:pPr>
        <w:pStyle w:val="Style_6"/>
        <w:ind w:firstLine="540"/>
        <w:contextualSpacing w:val="1"/>
        <w:jc w:val="center"/>
        <w:rPr>
          <w:rFonts w:ascii="PT Astra Serif" w:hAnsi="PT Astra Serif"/>
          <w:b w:val="1"/>
          <w:color w:val="181818"/>
          <w:sz w:val="28"/>
        </w:rPr>
      </w:pPr>
      <w:r>
        <w:rPr>
          <w:rFonts w:ascii="PT Astra Serif" w:hAnsi="PT Astra Serif"/>
          <w:b w:val="1"/>
          <w:color w:val="181818"/>
          <w:sz w:val="28"/>
        </w:rPr>
        <w:t>программа профилактики</w:t>
      </w:r>
    </w:p>
    <w:p w14:paraId="5C000000">
      <w:pPr>
        <w:ind/>
        <w:contextualSpacing w:val="1"/>
        <w:jc w:val="center"/>
        <w:rPr>
          <w:rFonts w:ascii="PT Astra Serif" w:hAnsi="PT Astra Serif"/>
          <w:b w:val="1"/>
          <w:color w:val="181818"/>
          <w:sz w:val="28"/>
        </w:rPr>
      </w:pPr>
    </w:p>
    <w:p w14:paraId="5D000000">
      <w:pPr>
        <w:spacing w:afterAutospacing="on" w:beforeAutospacing="on"/>
        <w:ind/>
        <w:contextualSpacing w:val="1"/>
        <w:jc w:val="both"/>
        <w:rPr>
          <w:rFonts w:ascii="PT Astra Serif" w:hAnsi="PT Astra Serif"/>
          <w:color w:val="181818"/>
          <w:sz w:val="28"/>
        </w:rPr>
      </w:pPr>
      <w:r>
        <w:rPr>
          <w:rFonts w:ascii="PT Astra Serif" w:hAnsi="PT Astra Serif"/>
          <w:color w:val="181818"/>
          <w:sz w:val="28"/>
        </w:rPr>
        <w:tab/>
      </w:r>
      <w:r>
        <w:rPr>
          <w:rFonts w:ascii="PT Astra Serif" w:hAnsi="PT Astra Serif"/>
          <w:color w:val="181818"/>
          <w:sz w:val="28"/>
        </w:rPr>
        <w:t>2.1. К основным проблемам в жилищной сфере относится нарастающий износ жилищного фонда и инженерных коммуникаций, слабое развитие конкуренции на рынке управляющих организаций, низкое качество услуг, предоставляемых населению, наряду с высокой стоимостью услуг.</w:t>
      </w:r>
    </w:p>
    <w:p w14:paraId="5E000000">
      <w:pPr>
        <w:ind/>
        <w:jc w:val="both"/>
        <w:rPr>
          <w:rFonts w:ascii="PT Astra Serif" w:hAnsi="PT Astra Serif"/>
          <w:b w:val="1"/>
          <w:color w:val="181818"/>
          <w:sz w:val="28"/>
        </w:rPr>
      </w:pPr>
      <w:r>
        <w:rPr>
          <w:rFonts w:ascii="PT Astra Serif" w:hAnsi="PT Astra Serif"/>
          <w:color w:val="181818"/>
          <w:sz w:val="28"/>
        </w:rPr>
        <w:tab/>
      </w:r>
      <w:r>
        <w:rPr>
          <w:rFonts w:ascii="PT Astra Serif" w:hAnsi="PT Astra Serif"/>
          <w:color w:val="181818"/>
          <w:sz w:val="28"/>
        </w:rPr>
        <w:tab/>
      </w:r>
      <w:r>
        <w:rPr>
          <w:rFonts w:ascii="PT Astra Serif" w:hAnsi="PT Astra Serif"/>
          <w:color w:val="181818"/>
          <w:sz w:val="28"/>
        </w:rPr>
        <w:tab/>
      </w:r>
    </w:p>
    <w:p w14:paraId="5F000000">
      <w:pPr>
        <w:ind/>
        <w:contextualSpacing w:val="1"/>
        <w:jc w:val="center"/>
        <w:rPr>
          <w:b w:val="1"/>
          <w:color w:val="181818"/>
          <w:sz w:val="28"/>
        </w:rPr>
      </w:pPr>
      <w:r>
        <w:rPr>
          <w:b w:val="1"/>
          <w:color w:val="181818"/>
          <w:sz w:val="28"/>
        </w:rPr>
        <w:t>3. Цели и задачи реализации программы профилактики</w:t>
      </w:r>
    </w:p>
    <w:p w14:paraId="60000000">
      <w:pPr>
        <w:ind/>
        <w:contextualSpacing w:val="1"/>
        <w:jc w:val="center"/>
        <w:rPr>
          <w:b w:val="1"/>
          <w:color w:val="181818"/>
          <w:sz w:val="28"/>
        </w:rPr>
      </w:pPr>
    </w:p>
    <w:p w14:paraId="61000000">
      <w:pPr>
        <w:tabs>
          <w:tab w:leader="none" w:pos="709" w:val="left"/>
        </w:tabs>
        <w:ind w:firstLine="709"/>
        <w:contextualSpacing w:val="1"/>
        <w:jc w:val="both"/>
        <w:rPr>
          <w:rFonts w:ascii="PT Astra Serif" w:hAnsi="PT Astra Serif"/>
          <w:color w:val="181818"/>
          <w:sz w:val="28"/>
        </w:rPr>
      </w:pPr>
      <w:r>
        <w:rPr>
          <w:rFonts w:ascii="PT Astra Serif" w:hAnsi="PT Astra Serif"/>
          <w:color w:val="181818"/>
          <w:sz w:val="28"/>
        </w:rPr>
        <w:t>3.1. Профилактика рисков причинения вреда (ущерба) охраняемым законом ценностям направлена на достижение следующих основных целей:</w:t>
      </w:r>
    </w:p>
    <w:p w14:paraId="62000000">
      <w:pPr>
        <w:tabs>
          <w:tab w:leader="none" w:pos="709" w:val="left"/>
        </w:tabs>
        <w:ind w:firstLine="709"/>
        <w:contextualSpacing w:val="1"/>
        <w:jc w:val="both"/>
        <w:rPr>
          <w:rFonts w:ascii="PT Astra Serif" w:hAnsi="PT Astra Serif"/>
          <w:color w:val="181818"/>
          <w:sz w:val="28"/>
        </w:rPr>
      </w:pPr>
      <w:r>
        <w:rPr>
          <w:rFonts w:ascii="PT Astra Serif" w:hAnsi="PT Astra Serif"/>
          <w:color w:val="181818"/>
          <w:sz w:val="28"/>
        </w:rPr>
        <w:t>1) стимулирование добросовестного соблюдения обязательных требований всеми контролируемыми лицами;</w:t>
      </w:r>
    </w:p>
    <w:p w14:paraId="63000000">
      <w:pPr>
        <w:tabs>
          <w:tab w:leader="none" w:pos="709" w:val="left"/>
        </w:tabs>
        <w:ind w:firstLine="709"/>
        <w:contextualSpacing w:val="1"/>
        <w:jc w:val="both"/>
        <w:rPr>
          <w:rFonts w:ascii="PT Astra Serif" w:hAnsi="PT Astra Serif"/>
          <w:color w:val="181818"/>
          <w:sz w:val="28"/>
        </w:rPr>
      </w:pPr>
      <w:r>
        <w:rPr>
          <w:rFonts w:ascii="PT Astra Serif" w:hAnsi="PT Astra Serif"/>
          <w:color w:val="181818"/>
          <w:sz w:val="28"/>
        </w:rPr>
        <w:t>2) 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64000000">
      <w:pPr>
        <w:ind w:firstLine="709"/>
        <w:contextualSpacing w:val="1"/>
        <w:jc w:val="both"/>
        <w:rPr>
          <w:rFonts w:ascii="PT Astra Serif" w:hAnsi="PT Astra Serif"/>
          <w:color w:val="181818"/>
          <w:sz w:val="28"/>
        </w:rPr>
      </w:pPr>
      <w:r>
        <w:rPr>
          <w:rFonts w:ascii="PT Astra Serif" w:hAnsi="PT Astra Serif"/>
          <w:color w:val="181818"/>
          <w:sz w:val="28"/>
        </w:rPr>
        <w:t>3) 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65000000">
      <w:pPr>
        <w:ind w:firstLine="708"/>
        <w:jc w:val="both"/>
        <w:rPr>
          <w:color w:val="181818"/>
          <w:sz w:val="28"/>
        </w:rPr>
      </w:pPr>
      <w:r>
        <w:rPr>
          <w:color w:val="181818"/>
          <w:sz w:val="28"/>
        </w:rPr>
        <w:t xml:space="preserve">3.2. Задачами Программы являются: </w:t>
      </w:r>
    </w:p>
    <w:p w14:paraId="66000000">
      <w:pPr>
        <w:ind w:firstLine="708"/>
        <w:jc w:val="both"/>
        <w:rPr>
          <w:color w:val="181818"/>
          <w:sz w:val="28"/>
        </w:rPr>
      </w:pPr>
      <w:r>
        <w:rPr>
          <w:color w:val="181818"/>
          <w:sz w:val="28"/>
        </w:rPr>
        <w:t xml:space="preserve">- укрепление </w:t>
      </w:r>
      <w:r>
        <w:rPr>
          <w:color w:val="181818"/>
          <w:sz w:val="28"/>
        </w:rPr>
        <w:t>системы профилактики нарушений обязательных требований</w:t>
      </w:r>
      <w:r>
        <w:rPr>
          <w:color w:val="181818"/>
          <w:sz w:val="28"/>
        </w:rPr>
        <w:t xml:space="preserve">; </w:t>
      </w:r>
    </w:p>
    <w:p w14:paraId="67000000">
      <w:pPr>
        <w:ind w:firstLine="708"/>
        <w:jc w:val="both"/>
        <w:rPr>
          <w:color w:val="181818"/>
          <w:sz w:val="28"/>
        </w:rPr>
      </w:pPr>
      <w:r>
        <w:rPr>
          <w:color w:val="181818"/>
          <w:sz w:val="28"/>
        </w:rPr>
        <w:t xml:space="preserve">-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 </w:t>
      </w:r>
    </w:p>
    <w:p w14:paraId="68000000">
      <w:pPr>
        <w:ind w:firstLine="708"/>
        <w:jc w:val="both"/>
        <w:rPr>
          <w:color w:val="181818"/>
          <w:sz w:val="28"/>
        </w:rPr>
      </w:pPr>
      <w:r>
        <w:rPr>
          <w:color w:val="181818"/>
          <w:sz w:val="28"/>
        </w:rPr>
        <w:t>- формирование одинакового понимания обязательных требований у всех участников контрольной деятельности.</w:t>
      </w:r>
    </w:p>
    <w:p w14:paraId="69000000">
      <w:pPr>
        <w:ind w:firstLine="709"/>
        <w:contextualSpacing w:val="1"/>
        <w:jc w:val="both"/>
        <w:rPr>
          <w:rFonts w:ascii="PT Astra Serif" w:hAnsi="PT Astra Serif"/>
          <w:color w:val="181818"/>
        </w:rPr>
      </w:pPr>
    </w:p>
    <w:p w14:paraId="6A000000">
      <w:pPr>
        <w:tabs>
          <w:tab w:leader="none" w:pos="709" w:val="left"/>
        </w:tabs>
        <w:ind/>
        <w:contextualSpacing w:val="1"/>
        <w:jc w:val="center"/>
        <w:rPr>
          <w:rFonts w:ascii="PT Astra Serif" w:hAnsi="PT Astra Serif"/>
          <w:b w:val="1"/>
          <w:color w:val="181818"/>
          <w:sz w:val="28"/>
        </w:rPr>
      </w:pPr>
      <w:r>
        <w:rPr>
          <w:rFonts w:ascii="PT Astra Serif" w:hAnsi="PT Astra Serif"/>
          <w:b w:val="1"/>
          <w:color w:val="181818"/>
          <w:sz w:val="28"/>
        </w:rPr>
        <w:t>4. Перечень профилактических мероприятий, сроки (периодичность) их проведения</w:t>
      </w:r>
    </w:p>
    <w:tbl>
      <w:tblPr>
        <w:tblStyle w:val="Style_5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0"/>
          <w:right w:type="dxa" w:w="0"/>
        </w:tblCellMar>
      </w:tblPr>
      <w:tblGrid>
        <w:gridCol w:w="530"/>
        <w:gridCol w:w="5106"/>
        <w:gridCol w:w="1700"/>
        <w:gridCol w:w="2009"/>
      </w:tblGrid>
      <w:tr>
        <w:trPr>
          <w:trHeight w:hRule="atLeast" w:val="302"/>
        </w:trPr>
        <w:tc>
          <w:tcPr>
            <w:tcW w:type="dxa" w:w="5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75"/>
              <w:left w:type="dxa" w:w="120"/>
              <w:bottom w:type="dxa" w:w="75"/>
              <w:right w:type="dxa" w:w="120"/>
            </w:tcMar>
          </w:tcPr>
          <w:p w14:paraId="6B000000">
            <w:pPr>
              <w:ind/>
              <w:jc w:val="center"/>
            </w:pPr>
            <w:r>
              <w:t xml:space="preserve">№ </w:t>
            </w:r>
            <w:r>
              <w:t>п</w:t>
            </w:r>
            <w:r>
              <w:t>/п</w:t>
            </w:r>
          </w:p>
        </w:tc>
        <w:tc>
          <w:tcPr>
            <w:tcW w:type="dxa" w:w="51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75"/>
              <w:left w:type="dxa" w:w="120"/>
              <w:bottom w:type="dxa" w:w="75"/>
              <w:right w:type="dxa" w:w="120"/>
            </w:tcMar>
          </w:tcPr>
          <w:p w14:paraId="6C000000">
            <w:pPr>
              <w:ind/>
              <w:jc w:val="center"/>
            </w:pPr>
            <w:r>
              <w:t>Наименование</w:t>
            </w:r>
          </w:p>
          <w:p w14:paraId="6D000000">
            <w:pPr>
              <w:ind/>
              <w:jc w:val="center"/>
            </w:pPr>
            <w:r>
              <w:t>мероприятия</w:t>
            </w:r>
          </w:p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75"/>
              <w:left w:type="dxa" w:w="120"/>
              <w:bottom w:type="dxa" w:w="75"/>
              <w:right w:type="dxa" w:w="120"/>
            </w:tcMar>
          </w:tcPr>
          <w:p w14:paraId="6E000000">
            <w:pPr>
              <w:ind/>
              <w:jc w:val="center"/>
            </w:pPr>
            <w:r>
              <w:t>Срок</w:t>
            </w:r>
          </w:p>
          <w:p w14:paraId="6F000000">
            <w:pPr>
              <w:ind/>
              <w:jc w:val="center"/>
            </w:pPr>
            <w:r>
              <w:t>исполнения</w:t>
            </w:r>
          </w:p>
        </w:tc>
        <w:tc>
          <w:tcPr>
            <w:tcW w:type="dxa" w:w="20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75"/>
              <w:left w:type="dxa" w:w="120"/>
              <w:bottom w:type="dxa" w:w="75"/>
              <w:right w:type="dxa" w:w="120"/>
            </w:tcMar>
          </w:tcPr>
          <w:p w14:paraId="70000000">
            <w:pPr>
              <w:ind/>
              <w:jc w:val="center"/>
            </w:pPr>
            <w:r>
              <w:t>Ответственные исполнители</w:t>
            </w:r>
          </w:p>
        </w:tc>
      </w:tr>
      <w:tr>
        <w:trPr>
          <w:trHeight w:hRule="atLeast" w:val="302"/>
        </w:trPr>
        <w:tc>
          <w:tcPr>
            <w:tcW w:type="dxa" w:w="5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75"/>
              <w:left w:type="dxa" w:w="120"/>
              <w:bottom w:type="dxa" w:w="75"/>
              <w:right w:type="dxa" w:w="120"/>
            </w:tcMar>
          </w:tcPr>
          <w:p w14:paraId="71000000">
            <w:pPr>
              <w:ind/>
              <w:jc w:val="center"/>
            </w:pPr>
          </w:p>
        </w:tc>
        <w:tc>
          <w:tcPr>
            <w:tcW w:type="dxa" w:w="51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75"/>
              <w:left w:type="dxa" w:w="120"/>
              <w:bottom w:type="dxa" w:w="75"/>
              <w:right w:type="dxa" w:w="120"/>
            </w:tcMar>
          </w:tcPr>
          <w:p w14:paraId="72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 xml:space="preserve">Информирование </w:t>
            </w:r>
          </w:p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75"/>
              <w:left w:type="dxa" w:w="120"/>
              <w:bottom w:type="dxa" w:w="75"/>
              <w:right w:type="dxa" w:w="120"/>
            </w:tcMar>
          </w:tcPr>
          <w:p w14:paraId="73000000">
            <w:pPr>
              <w:ind/>
              <w:jc w:val="center"/>
            </w:pPr>
          </w:p>
        </w:tc>
        <w:tc>
          <w:tcPr>
            <w:tcW w:type="dxa" w:w="20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75"/>
              <w:left w:type="dxa" w:w="120"/>
              <w:bottom w:type="dxa" w:w="75"/>
              <w:right w:type="dxa" w:w="120"/>
            </w:tcMar>
          </w:tcPr>
          <w:p w14:paraId="74000000">
            <w:pPr>
              <w:ind/>
              <w:jc w:val="center"/>
            </w:pPr>
          </w:p>
        </w:tc>
      </w:tr>
      <w:tr>
        <w:trPr>
          <w:trHeight w:hRule="atLeast" w:val="285"/>
        </w:trPr>
        <w:tc>
          <w:tcPr>
            <w:tcW w:type="dxa" w:w="5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75"/>
              <w:left w:type="dxa" w:w="120"/>
              <w:bottom w:type="dxa" w:w="75"/>
              <w:right w:type="dxa" w:w="120"/>
            </w:tcMar>
          </w:tcPr>
          <w:p w14:paraId="75000000">
            <w:r>
              <w:t>1.</w:t>
            </w:r>
          </w:p>
        </w:tc>
        <w:tc>
          <w:tcPr>
            <w:tcW w:type="dxa" w:w="51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75"/>
              <w:left w:type="dxa" w:w="120"/>
              <w:bottom w:type="dxa" w:w="75"/>
              <w:right w:type="dxa" w:w="120"/>
            </w:tcMar>
          </w:tcPr>
          <w:p w14:paraId="76000000">
            <w:pPr>
              <w:ind/>
              <w:jc w:val="both"/>
            </w:pPr>
            <w:r>
              <w:t>Поддержание в актуальной редакции размещенных на официальном сайте Администрации Костино-Быстрянского</w:t>
            </w:r>
            <w:r>
              <w:t xml:space="preserve"> сельского поселения</w:t>
            </w:r>
            <w:r>
              <w:t xml:space="preserve"> перечней нормативных правовых актов и их  отдельных частей (положений), содержащих обязательные требования, соблюдение которых оценивается при проведении мероприятий по муниципальному жилищному контролю</w:t>
            </w:r>
          </w:p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75"/>
              <w:left w:type="dxa" w:w="120"/>
              <w:bottom w:type="dxa" w:w="75"/>
              <w:right w:type="dxa" w:w="120"/>
            </w:tcMar>
          </w:tcPr>
          <w:p w14:paraId="77000000">
            <w:pPr>
              <w:ind/>
              <w:jc w:val="both"/>
            </w:pPr>
            <w:r>
              <w:t xml:space="preserve">по мере издания новых нормативных правовых актов или внесения изменений </w:t>
            </w:r>
            <w:r>
              <w:t>в</w:t>
            </w:r>
            <w:r>
              <w:t xml:space="preserve"> действующие</w:t>
            </w:r>
          </w:p>
        </w:tc>
        <w:tc>
          <w:tcPr>
            <w:tcW w:type="dxa" w:w="20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75"/>
              <w:left w:type="dxa" w:w="120"/>
              <w:bottom w:type="dxa" w:w="75"/>
              <w:right w:type="dxa" w:w="120"/>
            </w:tcMar>
          </w:tcPr>
          <w:p w14:paraId="78000000">
            <w:pPr>
              <w:ind/>
              <w:jc w:val="both"/>
            </w:pPr>
            <w:r>
              <w:t>Должностное лицо, уполномоченное на осуществление муниципального жилищного контроля</w:t>
            </w:r>
          </w:p>
        </w:tc>
      </w:tr>
      <w:tr>
        <w:trPr>
          <w:trHeight w:hRule="atLeast" w:val="285"/>
        </w:trPr>
        <w:tc>
          <w:tcPr>
            <w:tcW w:type="dxa" w:w="5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75"/>
              <w:left w:type="dxa" w:w="120"/>
              <w:bottom w:type="dxa" w:w="75"/>
              <w:right w:type="dxa" w:w="120"/>
            </w:tcMar>
          </w:tcPr>
          <w:p w14:paraId="79000000">
            <w:r>
              <w:t>2.</w:t>
            </w:r>
          </w:p>
        </w:tc>
        <w:tc>
          <w:tcPr>
            <w:tcW w:type="dxa" w:w="51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75"/>
              <w:left w:type="dxa" w:w="120"/>
              <w:bottom w:type="dxa" w:w="75"/>
              <w:right w:type="dxa" w:w="120"/>
            </w:tcMar>
          </w:tcPr>
          <w:p w14:paraId="7A000000">
            <w:pPr>
              <w:ind/>
              <w:jc w:val="both"/>
            </w:pPr>
            <w:r>
              <w:t>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 (в случае изменения обязательных требований)</w:t>
            </w:r>
          </w:p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75"/>
              <w:left w:type="dxa" w:w="120"/>
              <w:bottom w:type="dxa" w:w="75"/>
              <w:right w:type="dxa" w:w="120"/>
            </w:tcMar>
          </w:tcPr>
          <w:p w14:paraId="7B000000">
            <w:pPr>
              <w:ind/>
              <w:jc w:val="both"/>
            </w:pPr>
            <w:r>
              <w:t>в течение года</w:t>
            </w:r>
          </w:p>
          <w:p w14:paraId="7C000000">
            <w:pPr>
              <w:ind/>
              <w:jc w:val="both"/>
            </w:pPr>
            <w:r>
              <w:t>(по мере</w:t>
            </w:r>
          </w:p>
          <w:p w14:paraId="7D000000">
            <w:pPr>
              <w:ind/>
              <w:jc w:val="both"/>
            </w:pPr>
            <w:r>
              <w:t>необходимости)</w:t>
            </w:r>
          </w:p>
        </w:tc>
        <w:tc>
          <w:tcPr>
            <w:tcW w:type="dxa" w:w="20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75"/>
              <w:left w:type="dxa" w:w="120"/>
              <w:bottom w:type="dxa" w:w="75"/>
              <w:right w:type="dxa" w:w="120"/>
            </w:tcMar>
          </w:tcPr>
          <w:p w14:paraId="7E000000">
            <w:pPr>
              <w:ind/>
              <w:jc w:val="both"/>
            </w:pPr>
            <w:r>
              <w:t>Должностное лицо, уполномоченное на осуществление муниципального жилищного контроля</w:t>
            </w:r>
          </w:p>
        </w:tc>
      </w:tr>
      <w:tr>
        <w:trPr>
          <w:trHeight w:hRule="atLeast" w:val="285"/>
        </w:trPr>
        <w:tc>
          <w:tcPr>
            <w:tcW w:type="dxa" w:w="5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75"/>
              <w:left w:type="dxa" w:w="120"/>
              <w:bottom w:type="dxa" w:w="75"/>
              <w:right w:type="dxa" w:w="120"/>
            </w:tcMar>
          </w:tcPr>
          <w:p w14:paraId="7F000000">
            <w:r>
              <w:t>3.</w:t>
            </w:r>
          </w:p>
        </w:tc>
        <w:tc>
          <w:tcPr>
            <w:tcW w:type="dxa" w:w="51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75"/>
              <w:left w:type="dxa" w:w="120"/>
              <w:bottom w:type="dxa" w:w="75"/>
              <w:right w:type="dxa" w:w="120"/>
            </w:tcMar>
          </w:tcPr>
          <w:p w14:paraId="80000000">
            <w:pPr>
              <w:ind/>
              <w:jc w:val="both"/>
            </w:pPr>
            <w:r>
              <w:t xml:space="preserve">Информирование подконтрольных субъектов по вопросам соблюдения обязательных требований, </w:t>
            </w:r>
            <w:r>
              <w:t xml:space="preserve">в том числе </w:t>
            </w:r>
            <w:r>
              <w:t>проведения разъяснительной работы в средствах массовой информации и иными способами. </w:t>
            </w:r>
          </w:p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75"/>
              <w:left w:type="dxa" w:w="120"/>
              <w:bottom w:type="dxa" w:w="75"/>
              <w:right w:type="dxa" w:w="120"/>
            </w:tcMar>
          </w:tcPr>
          <w:p w14:paraId="81000000">
            <w:pPr>
              <w:ind/>
              <w:jc w:val="both"/>
            </w:pPr>
            <w:r>
              <w:t xml:space="preserve">в течение года, но не менее </w:t>
            </w:r>
            <w:r>
              <w:t>2</w:t>
            </w:r>
            <w:r>
              <w:t xml:space="preserve"> раз в год</w:t>
            </w:r>
          </w:p>
        </w:tc>
        <w:tc>
          <w:tcPr>
            <w:tcW w:type="dxa" w:w="20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75"/>
              <w:left w:type="dxa" w:w="120"/>
              <w:bottom w:type="dxa" w:w="75"/>
              <w:right w:type="dxa" w:w="120"/>
            </w:tcMar>
          </w:tcPr>
          <w:p w14:paraId="82000000">
            <w:pPr>
              <w:ind/>
              <w:jc w:val="both"/>
            </w:pPr>
            <w:r>
              <w:t>Должностное лицо, уполномоченное на осуществление муниципального жилищного контроля</w:t>
            </w:r>
          </w:p>
        </w:tc>
      </w:tr>
      <w:tr>
        <w:trPr>
          <w:trHeight w:hRule="atLeast" w:val="285"/>
        </w:trPr>
        <w:tc>
          <w:tcPr>
            <w:tcW w:type="dxa" w:w="5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75"/>
              <w:left w:type="dxa" w:w="120"/>
              <w:bottom w:type="dxa" w:w="75"/>
              <w:right w:type="dxa" w:w="120"/>
            </w:tcMar>
          </w:tcPr>
          <w:p w14:paraId="83000000"/>
        </w:tc>
        <w:tc>
          <w:tcPr>
            <w:tcW w:type="dxa" w:w="51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75"/>
              <w:left w:type="dxa" w:w="120"/>
              <w:bottom w:type="dxa" w:w="75"/>
              <w:right w:type="dxa" w:w="120"/>
            </w:tcMar>
          </w:tcPr>
          <w:p w14:paraId="84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Консультирование</w:t>
            </w:r>
          </w:p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75"/>
              <w:left w:type="dxa" w:w="120"/>
              <w:bottom w:type="dxa" w:w="75"/>
              <w:right w:type="dxa" w:w="120"/>
            </w:tcMar>
          </w:tcPr>
          <w:p w14:paraId="85000000">
            <w:pPr>
              <w:ind/>
              <w:jc w:val="both"/>
            </w:pPr>
          </w:p>
        </w:tc>
        <w:tc>
          <w:tcPr>
            <w:tcW w:type="dxa" w:w="20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75"/>
              <w:left w:type="dxa" w:w="120"/>
              <w:bottom w:type="dxa" w:w="75"/>
              <w:right w:type="dxa" w:w="120"/>
            </w:tcMar>
          </w:tcPr>
          <w:p w14:paraId="86000000">
            <w:pPr>
              <w:ind/>
              <w:jc w:val="both"/>
            </w:pPr>
          </w:p>
        </w:tc>
      </w:tr>
      <w:tr>
        <w:trPr>
          <w:trHeight w:hRule="atLeast" w:val="285"/>
        </w:trPr>
        <w:tc>
          <w:tcPr>
            <w:tcW w:type="dxa" w:w="5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75"/>
              <w:left w:type="dxa" w:w="120"/>
              <w:bottom w:type="dxa" w:w="75"/>
              <w:right w:type="dxa" w:w="120"/>
            </w:tcMar>
          </w:tcPr>
          <w:p w14:paraId="87000000">
            <w:r>
              <w:t>4.</w:t>
            </w:r>
          </w:p>
        </w:tc>
        <w:tc>
          <w:tcPr>
            <w:tcW w:type="dxa" w:w="51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75"/>
              <w:left w:type="dxa" w:w="120"/>
              <w:bottom w:type="dxa" w:w="75"/>
              <w:right w:type="dxa" w:w="120"/>
            </w:tcMar>
          </w:tcPr>
          <w:p w14:paraId="88000000">
            <w:pPr>
              <w:ind/>
              <w:jc w:val="both"/>
            </w:pPr>
            <w:r>
              <w:t xml:space="preserve">Проведение консультаций с </w:t>
            </w:r>
            <w:r>
              <w:t>подконтрольными</w:t>
            </w:r>
          </w:p>
          <w:p w14:paraId="89000000">
            <w:pPr>
              <w:ind/>
              <w:jc w:val="both"/>
            </w:pPr>
            <w:r>
              <w:t>субъектами по разъяснению обязательных требований, в том числе, разъяснение по вопросам:</w:t>
            </w:r>
          </w:p>
          <w:p w14:paraId="8A000000">
            <w:r>
              <w:t>- осуществления муниципального жилищного контроля;</w:t>
            </w:r>
          </w:p>
          <w:p w14:paraId="8B000000">
            <w:pPr>
              <w:ind/>
              <w:jc w:val="both"/>
            </w:pPr>
            <w:r>
              <w:t xml:space="preserve">-содержания нормативных правовых актов, соблюдение которых оценивается в ходе проверок. </w:t>
            </w:r>
          </w:p>
          <w:p w14:paraId="8C000000">
            <w:pPr>
              <w:ind/>
              <w:jc w:val="both"/>
            </w:pPr>
            <w:r>
              <w:t>Способы консультирования:</w:t>
            </w:r>
          </w:p>
          <w:p w14:paraId="8D000000">
            <w:pPr>
              <w:ind/>
              <w:jc w:val="both"/>
            </w:pPr>
            <w:r>
              <w:t xml:space="preserve">по телефону, на личном приеме, в ходе проведения </w:t>
            </w:r>
          </w:p>
          <w:p w14:paraId="8E000000">
            <w:pPr>
              <w:ind/>
              <w:jc w:val="both"/>
            </w:pPr>
            <w:r>
              <w:t>контрольно-надзорных и профилактических мероприятий, посредством видео-конференц-связи.</w:t>
            </w:r>
          </w:p>
          <w:p w14:paraId="8F000000">
            <w:pPr>
              <w:ind/>
              <w:jc w:val="both"/>
            </w:pPr>
          </w:p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75"/>
              <w:left w:type="dxa" w:w="120"/>
              <w:bottom w:type="dxa" w:w="75"/>
              <w:right w:type="dxa" w:w="120"/>
            </w:tcMar>
          </w:tcPr>
          <w:p w14:paraId="90000000">
            <w:pPr>
              <w:ind/>
              <w:jc w:val="both"/>
            </w:pPr>
            <w:r>
              <w:t>в рабочее время</w:t>
            </w:r>
          </w:p>
          <w:p w14:paraId="91000000">
            <w:r>
              <w:t>по запросу</w:t>
            </w:r>
          </w:p>
        </w:tc>
        <w:tc>
          <w:tcPr>
            <w:tcW w:type="dxa" w:w="20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75"/>
              <w:left w:type="dxa" w:w="120"/>
              <w:bottom w:type="dxa" w:w="75"/>
              <w:right w:type="dxa" w:w="120"/>
            </w:tcMar>
          </w:tcPr>
          <w:p w14:paraId="92000000">
            <w:pPr>
              <w:ind/>
              <w:jc w:val="both"/>
            </w:pPr>
            <w:r>
              <w:t>Должностное лицо, уполномоченное на осуществление муниципального жилищного контроля</w:t>
            </w:r>
          </w:p>
        </w:tc>
      </w:tr>
      <w:tr>
        <w:trPr>
          <w:trHeight w:hRule="atLeast" w:val="285"/>
        </w:trPr>
        <w:tc>
          <w:tcPr>
            <w:tcW w:type="dxa" w:w="5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75"/>
              <w:left w:type="dxa" w:w="120"/>
              <w:bottom w:type="dxa" w:w="75"/>
              <w:right w:type="dxa" w:w="120"/>
            </w:tcMar>
          </w:tcPr>
          <w:p w14:paraId="93000000"/>
        </w:tc>
        <w:tc>
          <w:tcPr>
            <w:tcW w:type="dxa" w:w="51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75"/>
              <w:left w:type="dxa" w:w="120"/>
              <w:bottom w:type="dxa" w:w="75"/>
              <w:right w:type="dxa" w:w="120"/>
            </w:tcMar>
          </w:tcPr>
          <w:p w14:paraId="94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Объявление предостережения</w:t>
            </w:r>
          </w:p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75"/>
              <w:left w:type="dxa" w:w="120"/>
              <w:bottom w:type="dxa" w:w="75"/>
              <w:right w:type="dxa" w:w="120"/>
            </w:tcMar>
          </w:tcPr>
          <w:p w14:paraId="95000000">
            <w:pPr>
              <w:ind/>
              <w:jc w:val="both"/>
            </w:pPr>
          </w:p>
        </w:tc>
        <w:tc>
          <w:tcPr>
            <w:tcW w:type="dxa" w:w="20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75"/>
              <w:left w:type="dxa" w:w="120"/>
              <w:bottom w:type="dxa" w:w="75"/>
              <w:right w:type="dxa" w:w="120"/>
            </w:tcMar>
          </w:tcPr>
          <w:p w14:paraId="96000000">
            <w:pPr>
              <w:ind/>
              <w:jc w:val="both"/>
            </w:pPr>
          </w:p>
        </w:tc>
      </w:tr>
      <w:tr>
        <w:trPr>
          <w:trHeight w:hRule="atLeast" w:val="285"/>
        </w:trPr>
        <w:tc>
          <w:tcPr>
            <w:tcW w:type="dxa" w:w="5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75"/>
              <w:left w:type="dxa" w:w="120"/>
              <w:bottom w:type="dxa" w:w="75"/>
              <w:right w:type="dxa" w:w="120"/>
            </w:tcMar>
          </w:tcPr>
          <w:p w14:paraId="97000000">
            <w:r>
              <w:t>5.</w:t>
            </w:r>
          </w:p>
        </w:tc>
        <w:tc>
          <w:tcPr>
            <w:tcW w:type="dxa" w:w="51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75"/>
              <w:left w:type="dxa" w:w="120"/>
              <w:bottom w:type="dxa" w:w="75"/>
              <w:right w:type="dxa" w:w="120"/>
            </w:tcMar>
          </w:tcPr>
          <w:p w14:paraId="98000000">
            <w:pPr>
              <w:ind/>
              <w:jc w:val="both"/>
            </w:pPr>
            <w:r>
              <w:t>Выдача предостережений о недопустимости</w:t>
            </w:r>
          </w:p>
          <w:p w14:paraId="99000000">
            <w:pPr>
              <w:ind/>
              <w:jc w:val="both"/>
            </w:pPr>
            <w:r>
              <w:t xml:space="preserve">нарушения обязательных требований в соответствии со статьей 49 Федерального закона № 248-ФЗ </w:t>
            </w:r>
          </w:p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75"/>
              <w:left w:type="dxa" w:w="120"/>
              <w:bottom w:type="dxa" w:w="75"/>
              <w:right w:type="dxa" w:w="120"/>
            </w:tcMar>
          </w:tcPr>
          <w:p w14:paraId="9A000000">
            <w:pPr>
              <w:ind/>
              <w:jc w:val="both"/>
            </w:pPr>
            <w:r>
              <w:t>в течение года</w:t>
            </w:r>
          </w:p>
          <w:p w14:paraId="9B000000">
            <w:pPr>
              <w:ind/>
              <w:jc w:val="both"/>
            </w:pPr>
            <w:r>
              <w:t>(при наличии оснований)</w:t>
            </w:r>
          </w:p>
        </w:tc>
        <w:tc>
          <w:tcPr>
            <w:tcW w:type="dxa" w:w="20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75"/>
              <w:left w:type="dxa" w:w="120"/>
              <w:bottom w:type="dxa" w:w="75"/>
              <w:right w:type="dxa" w:w="120"/>
            </w:tcMar>
          </w:tcPr>
          <w:p w14:paraId="9C000000">
            <w:pPr>
              <w:ind/>
              <w:jc w:val="both"/>
            </w:pPr>
            <w:r>
              <w:t>Должностное лицо, уполномоченное на осуществление муниципального жилищного контроля</w:t>
            </w:r>
          </w:p>
        </w:tc>
      </w:tr>
      <w:tr>
        <w:trPr>
          <w:trHeight w:hRule="atLeast" w:val="285"/>
        </w:trPr>
        <w:tc>
          <w:tcPr>
            <w:tcW w:type="dxa" w:w="5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75"/>
              <w:left w:type="dxa" w:w="120"/>
              <w:bottom w:type="dxa" w:w="75"/>
              <w:right w:type="dxa" w:w="120"/>
            </w:tcMar>
          </w:tcPr>
          <w:p w14:paraId="9D000000"/>
        </w:tc>
        <w:tc>
          <w:tcPr>
            <w:tcW w:type="dxa" w:w="51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75"/>
              <w:left w:type="dxa" w:w="120"/>
              <w:bottom w:type="dxa" w:w="75"/>
              <w:right w:type="dxa" w:w="120"/>
            </w:tcMar>
          </w:tcPr>
          <w:p w14:paraId="9E000000">
            <w:pPr>
              <w:ind/>
              <w:jc w:val="center"/>
            </w:pPr>
            <w:r>
              <w:rPr>
                <w:b w:val="1"/>
              </w:rPr>
              <w:t>Профилактический</w:t>
            </w:r>
            <w:r>
              <w:t xml:space="preserve"> визит</w:t>
            </w:r>
          </w:p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75"/>
              <w:left w:type="dxa" w:w="120"/>
              <w:bottom w:type="dxa" w:w="75"/>
              <w:right w:type="dxa" w:w="120"/>
            </w:tcMar>
          </w:tcPr>
          <w:p w14:paraId="9F000000">
            <w:pPr>
              <w:ind/>
              <w:jc w:val="both"/>
            </w:pPr>
          </w:p>
        </w:tc>
        <w:tc>
          <w:tcPr>
            <w:tcW w:type="dxa" w:w="20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75"/>
              <w:left w:type="dxa" w:w="120"/>
              <w:bottom w:type="dxa" w:w="75"/>
              <w:right w:type="dxa" w:w="120"/>
            </w:tcMar>
          </w:tcPr>
          <w:p w14:paraId="A0000000">
            <w:pPr>
              <w:ind/>
              <w:jc w:val="both"/>
            </w:pPr>
          </w:p>
        </w:tc>
      </w:tr>
      <w:tr>
        <w:trPr>
          <w:trHeight w:hRule="atLeast" w:val="285"/>
        </w:trPr>
        <w:tc>
          <w:tcPr>
            <w:tcW w:type="dxa" w:w="5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75"/>
              <w:left w:type="dxa" w:w="120"/>
              <w:bottom w:type="dxa" w:w="75"/>
              <w:right w:type="dxa" w:w="120"/>
            </w:tcMar>
          </w:tcPr>
          <w:p w14:paraId="A1000000">
            <w:r>
              <w:t>6</w:t>
            </w:r>
          </w:p>
        </w:tc>
        <w:tc>
          <w:tcPr>
            <w:tcW w:type="dxa" w:w="51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75"/>
              <w:left w:type="dxa" w:w="120"/>
              <w:bottom w:type="dxa" w:w="75"/>
              <w:right w:type="dxa" w:w="120"/>
            </w:tcMar>
          </w:tcPr>
          <w:p w14:paraId="A2000000">
            <w:pPr>
              <w:ind/>
              <w:jc w:val="both"/>
              <w:rPr>
                <w:b w:val="1"/>
              </w:rPr>
            </w:pPr>
            <w:r>
              <w:t>Профилактическая беседа по месту осуществления деятельности контролируемого лица либо путем использования видео-конференц-связи.</w:t>
            </w:r>
          </w:p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75"/>
              <w:left w:type="dxa" w:w="120"/>
              <w:bottom w:type="dxa" w:w="75"/>
              <w:right w:type="dxa" w:w="120"/>
            </w:tcMar>
          </w:tcPr>
          <w:p w14:paraId="A3000000">
            <w:pPr>
              <w:ind/>
              <w:jc w:val="both"/>
            </w:pPr>
            <w:r>
              <w:t>По мере необходимости</w:t>
            </w:r>
          </w:p>
          <w:p w14:paraId="A4000000">
            <w:pPr>
              <w:ind/>
              <w:jc w:val="both"/>
            </w:pPr>
          </w:p>
        </w:tc>
        <w:tc>
          <w:tcPr>
            <w:tcW w:type="dxa" w:w="20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75"/>
              <w:left w:type="dxa" w:w="120"/>
              <w:bottom w:type="dxa" w:w="75"/>
              <w:right w:type="dxa" w:w="120"/>
            </w:tcMar>
          </w:tcPr>
          <w:p w14:paraId="A5000000">
            <w:pPr>
              <w:ind/>
              <w:jc w:val="both"/>
            </w:pPr>
            <w:r>
              <w:t>Должностное лицо, уполномоченное на осуществление муниципального жилищного контроля</w:t>
            </w:r>
          </w:p>
        </w:tc>
      </w:tr>
    </w:tbl>
    <w:p w14:paraId="A6000000">
      <w:pPr>
        <w:tabs>
          <w:tab w:leader="none" w:pos="709" w:val="left"/>
        </w:tabs>
        <w:ind/>
        <w:contextualSpacing w:val="1"/>
        <w:jc w:val="center"/>
        <w:rPr>
          <w:rFonts w:ascii="PT Astra Serif" w:hAnsi="PT Astra Serif"/>
          <w:b w:val="1"/>
          <w:color w:val="181818"/>
        </w:rPr>
      </w:pPr>
      <w:r>
        <w:rPr>
          <w:rFonts w:ascii="PT Astra Serif" w:hAnsi="PT Astra Serif"/>
          <w:b w:val="1"/>
          <w:color w:val="181818"/>
        </w:rPr>
        <w:tab/>
      </w:r>
      <w:r>
        <w:rPr>
          <w:rFonts w:ascii="PT Astra Serif" w:hAnsi="PT Astra Serif"/>
          <w:b w:val="1"/>
          <w:color w:val="181818"/>
        </w:rPr>
        <w:tab/>
      </w:r>
      <w:r>
        <w:rPr>
          <w:rFonts w:ascii="PT Astra Serif" w:hAnsi="PT Astra Serif"/>
          <w:b w:val="1"/>
          <w:color w:val="181818"/>
        </w:rPr>
        <w:tab/>
      </w:r>
      <w:r>
        <w:rPr>
          <w:rFonts w:ascii="PT Astra Serif" w:hAnsi="PT Astra Serif"/>
          <w:b w:val="1"/>
          <w:color w:val="181818"/>
        </w:rPr>
        <w:tab/>
      </w:r>
      <w:r>
        <w:rPr>
          <w:rFonts w:ascii="PT Astra Serif" w:hAnsi="PT Astra Serif"/>
          <w:b w:val="1"/>
          <w:color w:val="181818"/>
        </w:rPr>
        <w:tab/>
      </w:r>
      <w:r>
        <w:rPr>
          <w:rFonts w:ascii="PT Astra Serif" w:hAnsi="PT Astra Serif"/>
          <w:b w:val="1"/>
          <w:color w:val="181818"/>
        </w:rPr>
        <w:tab/>
      </w:r>
      <w:r>
        <w:rPr>
          <w:rFonts w:ascii="PT Astra Serif" w:hAnsi="PT Astra Serif"/>
          <w:b w:val="1"/>
          <w:color w:val="181818"/>
        </w:rPr>
        <w:tab/>
      </w:r>
      <w:r>
        <w:rPr>
          <w:rFonts w:ascii="PT Astra Serif" w:hAnsi="PT Astra Serif"/>
          <w:b w:val="1"/>
          <w:color w:val="181818"/>
        </w:rPr>
        <w:tab/>
      </w:r>
      <w:r>
        <w:rPr>
          <w:rFonts w:ascii="PT Astra Serif" w:hAnsi="PT Astra Serif"/>
          <w:b w:val="1"/>
          <w:color w:val="181818"/>
        </w:rPr>
        <w:tab/>
      </w:r>
      <w:r>
        <w:rPr>
          <w:rFonts w:ascii="PT Astra Serif" w:hAnsi="PT Astra Serif"/>
          <w:b w:val="1"/>
          <w:color w:val="181818"/>
        </w:rPr>
        <w:tab/>
      </w:r>
      <w:r>
        <w:rPr>
          <w:rFonts w:ascii="PT Astra Serif" w:hAnsi="PT Astra Serif"/>
          <w:b w:val="1"/>
          <w:color w:val="181818"/>
        </w:rPr>
        <w:tab/>
      </w:r>
    </w:p>
    <w:p w14:paraId="A7000000">
      <w:pPr>
        <w:tabs>
          <w:tab w:leader="none" w:pos="992" w:val="left"/>
        </w:tabs>
        <w:ind/>
        <w:jc w:val="center"/>
        <w:rPr>
          <w:rFonts w:ascii="PT Astra Serif" w:hAnsi="PT Astra Serif"/>
          <w:b w:val="1"/>
          <w:color w:val="181818"/>
          <w:sz w:val="28"/>
        </w:rPr>
      </w:pPr>
      <w:r>
        <w:rPr>
          <w:rFonts w:ascii="PT Astra Serif" w:hAnsi="PT Astra Serif"/>
          <w:b w:val="1"/>
          <w:color w:val="181818"/>
          <w:sz w:val="28"/>
        </w:rPr>
        <w:t>5. Показатели результативности и эффективности программы профилактики</w:t>
      </w:r>
    </w:p>
    <w:p w14:paraId="A8000000">
      <w:pPr>
        <w:tabs>
          <w:tab w:leader="none" w:pos="992" w:val="left"/>
        </w:tabs>
        <w:ind/>
        <w:jc w:val="center"/>
        <w:rPr>
          <w:rFonts w:ascii="PT Astra Serif" w:hAnsi="PT Astra Serif"/>
          <w:b w:val="1"/>
          <w:color w:val="181818"/>
          <w:sz w:val="28"/>
        </w:rPr>
      </w:pPr>
      <w:r>
        <w:rPr>
          <w:rFonts w:ascii="PT Astra Serif" w:hAnsi="PT Astra Serif"/>
          <w:b w:val="1"/>
          <w:color w:val="181818"/>
          <w:sz w:val="28"/>
        </w:rPr>
        <w:t xml:space="preserve"> рисков причинения вреда (ущерба)</w:t>
      </w:r>
    </w:p>
    <w:p w14:paraId="A9000000">
      <w:pPr>
        <w:tabs>
          <w:tab w:leader="none" w:pos="992" w:val="left"/>
        </w:tabs>
        <w:ind/>
        <w:jc w:val="center"/>
        <w:rPr>
          <w:rFonts w:ascii="PT Astra Serif" w:hAnsi="PT Astra Serif"/>
          <w:b w:val="1"/>
          <w:color w:val="181818"/>
        </w:rPr>
      </w:pPr>
    </w:p>
    <w:p w14:paraId="AA000000">
      <w:pPr>
        <w:tabs>
          <w:tab w:leader="none" w:pos="992" w:val="left"/>
        </w:tabs>
        <w:ind/>
        <w:jc w:val="both"/>
        <w:rPr>
          <w:rFonts w:ascii="PT Astra Serif" w:hAnsi="PT Astra Serif"/>
          <w:color w:val="181818"/>
          <w:sz w:val="28"/>
        </w:rPr>
      </w:pPr>
      <w:r>
        <w:rPr>
          <w:rFonts w:ascii="PT Astra Serif" w:hAnsi="PT Astra Serif"/>
          <w:color w:val="181818"/>
          <w:sz w:val="28"/>
        </w:rPr>
        <w:t>Реализация программы профилактики способствует:</w:t>
      </w:r>
    </w:p>
    <w:p w14:paraId="AB000000">
      <w:pPr>
        <w:tabs>
          <w:tab w:leader="none" w:pos="992" w:val="left"/>
        </w:tabs>
        <w:ind w:firstLine="426" w:left="-426"/>
        <w:jc w:val="both"/>
        <w:rPr>
          <w:rFonts w:ascii="PT Astra Serif" w:hAnsi="PT Astra Serif"/>
          <w:color w:val="181818"/>
          <w:sz w:val="28"/>
        </w:rPr>
      </w:pPr>
      <w:r>
        <w:rPr>
          <w:rFonts w:ascii="PT Astra Serif" w:hAnsi="PT Astra Serif"/>
          <w:color w:val="181818"/>
          <w:sz w:val="28"/>
        </w:rPr>
        <w:t>- увеличению доли контролируемых лиц, соблюдающих обязательные требования жилищного законодательства;</w:t>
      </w:r>
    </w:p>
    <w:p w14:paraId="AC000000">
      <w:pPr>
        <w:tabs>
          <w:tab w:leader="none" w:pos="992" w:val="left"/>
        </w:tabs>
        <w:ind w:firstLine="426" w:left="-426"/>
        <w:jc w:val="both"/>
        <w:rPr>
          <w:rFonts w:ascii="PT Astra Serif" w:hAnsi="PT Astra Serif"/>
          <w:color w:val="181818"/>
          <w:sz w:val="28"/>
        </w:rPr>
      </w:pPr>
      <w:r>
        <w:rPr>
          <w:rFonts w:ascii="PT Astra Serif" w:hAnsi="PT Astra Serif"/>
          <w:color w:val="181818"/>
          <w:sz w:val="28"/>
        </w:rPr>
        <w:t>- повышению качества предоставляемых жилищно-коммунальных услуг;</w:t>
      </w:r>
    </w:p>
    <w:p w14:paraId="AD000000">
      <w:pPr>
        <w:tabs>
          <w:tab w:leader="none" w:pos="992" w:val="left"/>
        </w:tabs>
        <w:ind w:firstLine="426" w:left="-426"/>
        <w:jc w:val="both"/>
        <w:rPr>
          <w:rFonts w:ascii="PT Astra Serif" w:hAnsi="PT Astra Serif"/>
          <w:color w:val="181818"/>
          <w:sz w:val="28"/>
        </w:rPr>
      </w:pPr>
      <w:r>
        <w:rPr>
          <w:rFonts w:ascii="PT Astra Serif" w:hAnsi="PT Astra Serif"/>
          <w:color w:val="181818"/>
          <w:sz w:val="28"/>
        </w:rPr>
        <w:t>- развитию системы профилактических мероприятий.</w:t>
      </w:r>
    </w:p>
    <w:p w14:paraId="AE000000">
      <w:pPr>
        <w:pStyle w:val="Style_7"/>
        <w:widowControl w:val="1"/>
        <w:ind/>
        <w:rPr>
          <w:color w:val="181818"/>
          <w:sz w:val="28"/>
        </w:rPr>
      </w:pPr>
    </w:p>
    <w:p w14:paraId="AF000000">
      <w:pPr>
        <w:ind/>
        <w:jc w:val="center"/>
        <w:rPr>
          <w:color w:val="181818"/>
          <w:sz w:val="28"/>
        </w:rPr>
      </w:pPr>
    </w:p>
    <w:p w14:paraId="B0000000">
      <w:pPr>
        <w:ind/>
        <w:jc w:val="center"/>
        <w:rPr>
          <w:color w:val="181818"/>
          <w:sz w:val="28"/>
        </w:rPr>
      </w:pPr>
    </w:p>
    <w:p w14:paraId="B1000000">
      <w:pPr>
        <w:ind/>
        <w:jc w:val="center"/>
        <w:rPr>
          <w:color w:val="181818"/>
          <w:sz w:val="28"/>
        </w:rPr>
      </w:pPr>
    </w:p>
    <w:p w14:paraId="B2000000">
      <w:pPr>
        <w:ind/>
        <w:jc w:val="center"/>
        <w:rPr>
          <w:color w:val="181818"/>
          <w:sz w:val="28"/>
        </w:rPr>
      </w:pPr>
    </w:p>
    <w:p w14:paraId="B3000000">
      <w:pPr>
        <w:ind/>
        <w:jc w:val="center"/>
        <w:rPr>
          <w:color w:val="181818"/>
          <w:sz w:val="28"/>
        </w:rPr>
      </w:pPr>
    </w:p>
    <w:p w14:paraId="B4000000">
      <w:pPr>
        <w:ind/>
        <w:jc w:val="center"/>
        <w:rPr>
          <w:color w:val="181818"/>
          <w:sz w:val="28"/>
        </w:rPr>
      </w:pPr>
    </w:p>
    <w:p w14:paraId="B5000000">
      <w:pPr>
        <w:ind/>
        <w:jc w:val="center"/>
        <w:rPr>
          <w:color w:val="181818"/>
          <w:sz w:val="28"/>
        </w:rPr>
      </w:pPr>
    </w:p>
    <w:p w14:paraId="B6000000">
      <w:pPr>
        <w:ind/>
        <w:jc w:val="center"/>
        <w:rPr>
          <w:color w:val="181818"/>
          <w:sz w:val="28"/>
        </w:rPr>
      </w:pPr>
    </w:p>
    <w:p w14:paraId="B7000000">
      <w:pPr>
        <w:ind/>
        <w:jc w:val="center"/>
        <w:rPr>
          <w:color w:val="181818"/>
          <w:sz w:val="28"/>
        </w:rPr>
      </w:pPr>
    </w:p>
    <w:p w14:paraId="B8000000">
      <w:pPr>
        <w:ind/>
        <w:jc w:val="center"/>
        <w:rPr>
          <w:color w:val="181818"/>
          <w:sz w:val="28"/>
        </w:rPr>
      </w:pPr>
    </w:p>
    <w:p w14:paraId="B9000000">
      <w:pPr>
        <w:ind/>
        <w:jc w:val="center"/>
        <w:rPr>
          <w:color w:val="181818"/>
          <w:sz w:val="28"/>
        </w:rPr>
      </w:pPr>
    </w:p>
    <w:p w14:paraId="BA000000">
      <w:pPr>
        <w:ind/>
        <w:jc w:val="center"/>
        <w:rPr>
          <w:color w:val="181818"/>
          <w:sz w:val="28"/>
        </w:rPr>
      </w:pPr>
    </w:p>
    <w:p w14:paraId="BB000000"/>
    <w:sectPr>
      <w:pgSz w:h="16838" w:w="11906"/>
      <w:pgMar w:bottom="1134" w:footer="708" w:gutter="0" w:header="708" w:left="1701" w:right="850" w:top="426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abstractNum w:abstractNumId="0">
    <w:lvl w:ilvl="0">
      <w:start w:val="1"/>
      <w:numFmt w:val="decimal"/>
      <w:lvlText w:val="%1."/>
      <w:lvlJc w:val="left"/>
      <w:pPr>
        <w:ind w:hanging="540" w:left="1245"/>
      </w:pPr>
    </w:lvl>
    <w:lvl w:ilvl="1">
      <w:start w:val="1"/>
      <w:numFmt w:val="decimal"/>
      <w:lvlText w:val="%1.%2."/>
      <w:lvlJc w:val="left"/>
      <w:pPr>
        <w:ind w:hanging="720" w:left="1429"/>
      </w:pPr>
    </w:lvl>
    <w:lvl w:ilvl="2">
      <w:start w:val="1"/>
      <w:numFmt w:val="decimal"/>
      <w:lvlText w:val="%1.%2.%3."/>
      <w:lvlJc w:val="left"/>
      <w:pPr>
        <w:ind w:hanging="720" w:left="1433"/>
      </w:pPr>
    </w:lvl>
    <w:lvl w:ilvl="3">
      <w:start w:val="1"/>
      <w:numFmt w:val="decimal"/>
      <w:lvlText w:val="%1.%2.%3.%4."/>
      <w:lvlJc w:val="left"/>
      <w:pPr>
        <w:ind w:hanging="1080" w:left="1797"/>
      </w:pPr>
    </w:lvl>
    <w:lvl w:ilvl="4">
      <w:start w:val="1"/>
      <w:numFmt w:val="decimal"/>
      <w:lvlText w:val="%1.%2.%3.%4.%5."/>
      <w:lvlJc w:val="left"/>
      <w:pPr>
        <w:ind w:hanging="1080" w:left="1801"/>
      </w:pPr>
    </w:lvl>
    <w:lvl w:ilvl="5">
      <w:start w:val="1"/>
      <w:numFmt w:val="decimal"/>
      <w:lvlText w:val="%1.%2.%3.%4.%5.%6."/>
      <w:lvlJc w:val="left"/>
      <w:pPr>
        <w:ind w:hanging="1440" w:left="2165"/>
      </w:pPr>
    </w:lvl>
    <w:lvl w:ilvl="6">
      <w:start w:val="1"/>
      <w:numFmt w:val="decimal"/>
      <w:lvlText w:val="%1.%2.%3.%4.%5.%6.%7."/>
      <w:lvlJc w:val="left"/>
      <w:pPr>
        <w:ind w:hanging="1800" w:left="2529"/>
      </w:pPr>
    </w:lvl>
    <w:lvl w:ilvl="7">
      <w:start w:val="1"/>
      <w:numFmt w:val="decimal"/>
      <w:lvlText w:val="%1.%2.%3.%4.%5.%6.%7.%8."/>
      <w:lvlJc w:val="left"/>
      <w:pPr>
        <w:ind w:hanging="1800" w:left="2533"/>
      </w:pPr>
    </w:lvl>
    <w:lvl w:ilvl="8">
      <w:start w:val="1"/>
      <w:numFmt w:val="decimal"/>
      <w:lvlText w:val="%1.%2.%3.%4.%5.%6.%7.%8.%9."/>
      <w:lvlJc w:val="left"/>
      <w:pPr>
        <w:ind w:hanging="2160" w:left="2897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8" w:type="paragraph">
    <w:name w:val="Normal"/>
    <w:link w:val="Style_8_ch"/>
    <w:uiPriority w:val="0"/>
    <w:qFormat/>
    <w:pPr>
      <w:spacing w:after="0" w:line="240" w:lineRule="auto"/>
      <w:ind/>
    </w:pPr>
    <w:rPr>
      <w:rFonts w:ascii="Times New Roman" w:hAnsi="Times New Roman"/>
      <w:sz w:val="24"/>
    </w:rPr>
  </w:style>
  <w:style w:default="1" w:styleId="Style_8_ch" w:type="character">
    <w:name w:val="Normal"/>
    <w:link w:val="Style_8"/>
    <w:rPr>
      <w:rFonts w:ascii="Times New Roman" w:hAnsi="Times New Roman"/>
      <w:sz w:val="24"/>
    </w:rPr>
  </w:style>
  <w:style w:styleId="Style_3" w:type="paragraph">
    <w:name w:val="ConsNormal"/>
    <w:link w:val="Style_3_ch"/>
    <w:pPr>
      <w:widowControl w:val="0"/>
      <w:spacing w:after="0" w:line="240" w:lineRule="auto"/>
      <w:ind w:firstLine="720" w:right="19772"/>
    </w:pPr>
    <w:rPr>
      <w:rFonts w:ascii="Arial" w:hAnsi="Arial"/>
      <w:sz w:val="20"/>
    </w:rPr>
  </w:style>
  <w:style w:styleId="Style_3_ch" w:type="character">
    <w:name w:val="ConsNormal"/>
    <w:link w:val="Style_3"/>
    <w:rPr>
      <w:rFonts w:ascii="Arial" w:hAnsi="Arial"/>
      <w:sz w:val="20"/>
    </w:rPr>
  </w:style>
  <w:style w:styleId="Style_9" w:type="paragraph">
    <w:name w:val="toc 2"/>
    <w:next w:val="Style_8"/>
    <w:link w:val="Style_9_ch"/>
    <w:uiPriority w:val="39"/>
    <w:pPr>
      <w:ind w:firstLine="0" w:left="200"/>
    </w:pPr>
  </w:style>
  <w:style w:styleId="Style_9_ch" w:type="character">
    <w:name w:val="toc 2"/>
    <w:link w:val="Style_9"/>
  </w:style>
  <w:style w:styleId="Style_10" w:type="paragraph">
    <w:name w:val="toc 4"/>
    <w:next w:val="Style_8"/>
    <w:link w:val="Style_10_ch"/>
    <w:uiPriority w:val="39"/>
    <w:pPr>
      <w:ind w:firstLine="0" w:left="600"/>
    </w:pPr>
  </w:style>
  <w:style w:styleId="Style_10_ch" w:type="character">
    <w:name w:val="toc 4"/>
    <w:link w:val="Style_10"/>
  </w:style>
  <w:style w:styleId="Style_11" w:type="paragraph">
    <w:name w:val="toc 6"/>
    <w:next w:val="Style_8"/>
    <w:link w:val="Style_11_ch"/>
    <w:uiPriority w:val="39"/>
    <w:pPr>
      <w:ind w:firstLine="0" w:left="1000"/>
    </w:pPr>
  </w:style>
  <w:style w:styleId="Style_11_ch" w:type="character">
    <w:name w:val="toc 6"/>
    <w:link w:val="Style_11"/>
  </w:style>
  <w:style w:styleId="Style_12" w:type="paragraph">
    <w:name w:val="toc 7"/>
    <w:next w:val="Style_8"/>
    <w:link w:val="Style_12_ch"/>
    <w:uiPriority w:val="39"/>
    <w:pPr>
      <w:ind w:firstLine="0" w:left="1200"/>
    </w:pPr>
  </w:style>
  <w:style w:styleId="Style_12_ch" w:type="character">
    <w:name w:val="toc 7"/>
    <w:link w:val="Style_12"/>
  </w:style>
  <w:style w:styleId="Style_13" w:type="paragraph">
    <w:name w:val="Default Paragraph Font"/>
    <w:link w:val="Style_13_ch"/>
  </w:style>
  <w:style w:styleId="Style_13_ch" w:type="character">
    <w:name w:val="Default Paragraph Font"/>
    <w:link w:val="Style_13"/>
  </w:style>
  <w:style w:styleId="Style_14" w:type="paragraph">
    <w:name w:val="heading 3"/>
    <w:next w:val="Style_8"/>
    <w:link w:val="Style_14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14_ch" w:type="character">
    <w:name w:val="heading 3"/>
    <w:link w:val="Style_14"/>
    <w:rPr>
      <w:rFonts w:ascii="XO Thames" w:hAnsi="XO Thames"/>
      <w:b w:val="1"/>
      <w:i w:val="1"/>
      <w:color w:val="000000"/>
    </w:rPr>
  </w:style>
  <w:style w:styleId="Style_15" w:type="paragraph">
    <w:name w:val="Balloon Text"/>
    <w:basedOn w:val="Style_8"/>
    <w:link w:val="Style_15_ch"/>
    <w:rPr>
      <w:rFonts w:ascii="Tahoma" w:hAnsi="Tahoma"/>
      <w:sz w:val="16"/>
    </w:rPr>
  </w:style>
  <w:style w:styleId="Style_15_ch" w:type="character">
    <w:name w:val="Balloon Text"/>
    <w:basedOn w:val="Style_8_ch"/>
    <w:link w:val="Style_15"/>
    <w:rPr>
      <w:rFonts w:ascii="Tahoma" w:hAnsi="Tahoma"/>
      <w:sz w:val="16"/>
    </w:rPr>
  </w:style>
  <w:style w:styleId="Style_16" w:type="paragraph">
    <w:name w:val="toc 3"/>
    <w:next w:val="Style_8"/>
    <w:link w:val="Style_16_ch"/>
    <w:uiPriority w:val="39"/>
    <w:pPr>
      <w:ind w:firstLine="0" w:left="400"/>
    </w:pPr>
  </w:style>
  <w:style w:styleId="Style_16_ch" w:type="character">
    <w:name w:val="toc 3"/>
    <w:link w:val="Style_16"/>
  </w:style>
  <w:style w:styleId="Style_4" w:type="paragraph">
    <w:name w:val="Default"/>
    <w:link w:val="Style_4_ch"/>
    <w:pPr>
      <w:spacing w:after="0" w:line="240" w:lineRule="auto"/>
      <w:ind/>
    </w:pPr>
    <w:rPr>
      <w:rFonts w:ascii="Liberation Serif" w:hAnsi="Liberation Serif"/>
      <w:color w:val="000000"/>
      <w:sz w:val="24"/>
    </w:rPr>
  </w:style>
  <w:style w:styleId="Style_4_ch" w:type="character">
    <w:name w:val="Default"/>
    <w:link w:val="Style_4"/>
    <w:rPr>
      <w:rFonts w:ascii="Liberation Serif" w:hAnsi="Liberation Serif"/>
      <w:color w:val="000000"/>
      <w:sz w:val="24"/>
    </w:rPr>
  </w:style>
  <w:style w:styleId="Style_17" w:type="paragraph">
    <w:name w:val="heading 5"/>
    <w:next w:val="Style_8"/>
    <w:link w:val="Style_17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7_ch" w:type="character">
    <w:name w:val="heading 5"/>
    <w:link w:val="Style_17"/>
    <w:rPr>
      <w:rFonts w:ascii="XO Thames" w:hAnsi="XO Thames"/>
      <w:b w:val="1"/>
      <w:color w:val="000000"/>
      <w:sz w:val="22"/>
    </w:rPr>
  </w:style>
  <w:style w:styleId="Style_7" w:type="paragraph">
    <w:name w:val="Style2"/>
    <w:basedOn w:val="Style_8"/>
    <w:link w:val="Style_7_ch"/>
    <w:pPr>
      <w:widowControl w:val="0"/>
      <w:spacing w:line="360" w:lineRule="exact"/>
      <w:ind/>
      <w:jc w:val="center"/>
    </w:pPr>
  </w:style>
  <w:style w:styleId="Style_7_ch" w:type="character">
    <w:name w:val="Style2"/>
    <w:basedOn w:val="Style_8_ch"/>
    <w:link w:val="Style_7"/>
  </w:style>
  <w:style w:styleId="Style_18" w:type="paragraph">
    <w:name w:val="heading 1"/>
    <w:basedOn w:val="Style_8"/>
    <w:next w:val="Style_8"/>
    <w:link w:val="Style_18_ch"/>
    <w:uiPriority w:val="9"/>
    <w:qFormat/>
    <w:pPr>
      <w:keepNext w:val="1"/>
      <w:ind/>
      <w:jc w:val="center"/>
      <w:outlineLvl w:val="0"/>
    </w:pPr>
    <w:rPr>
      <w:b w:val="1"/>
      <w:sz w:val="36"/>
    </w:rPr>
  </w:style>
  <w:style w:styleId="Style_18_ch" w:type="character">
    <w:name w:val="heading 1"/>
    <w:basedOn w:val="Style_8_ch"/>
    <w:link w:val="Style_18"/>
    <w:rPr>
      <w:b w:val="1"/>
      <w:sz w:val="36"/>
    </w:rPr>
  </w:style>
  <w:style w:styleId="Style_19" w:type="paragraph">
    <w:name w:val="Hyperlink"/>
    <w:link w:val="Style_19_ch"/>
    <w:rPr>
      <w:color w:val="0000FF"/>
      <w:u w:val="single"/>
    </w:rPr>
  </w:style>
  <w:style w:styleId="Style_19_ch" w:type="character">
    <w:name w:val="Hyperlink"/>
    <w:link w:val="Style_19"/>
    <w:rPr>
      <w:color w:val="0000FF"/>
      <w:u w:val="single"/>
    </w:rPr>
  </w:style>
  <w:style w:styleId="Style_20" w:type="paragraph">
    <w:name w:val="Footnote"/>
    <w:link w:val="Style_20_ch"/>
    <w:pPr>
      <w:ind/>
      <w:jc w:val="left"/>
    </w:pPr>
    <w:rPr>
      <w:rFonts w:ascii="XO Thames" w:hAnsi="XO Thames"/>
      <w:sz w:val="22"/>
    </w:rPr>
  </w:style>
  <w:style w:styleId="Style_20_ch" w:type="character">
    <w:name w:val="Footnote"/>
    <w:link w:val="Style_20"/>
    <w:rPr>
      <w:rFonts w:ascii="XO Thames" w:hAnsi="XO Thames"/>
      <w:sz w:val="22"/>
    </w:rPr>
  </w:style>
  <w:style w:styleId="Style_21" w:type="paragraph">
    <w:name w:val="toc 1"/>
    <w:next w:val="Style_8"/>
    <w:link w:val="Style_21_ch"/>
    <w:uiPriority w:val="39"/>
    <w:pPr>
      <w:ind w:firstLine="0" w:left="0"/>
    </w:pPr>
    <w:rPr>
      <w:rFonts w:ascii="XO Thames" w:hAnsi="XO Thames"/>
      <w:b w:val="1"/>
    </w:rPr>
  </w:style>
  <w:style w:styleId="Style_21_ch" w:type="character">
    <w:name w:val="toc 1"/>
    <w:link w:val="Style_21"/>
    <w:rPr>
      <w:rFonts w:ascii="XO Thames" w:hAnsi="XO Thames"/>
      <w:b w:val="1"/>
    </w:rPr>
  </w:style>
  <w:style w:styleId="Style_22" w:type="paragraph">
    <w:name w:val="Header and Footer"/>
    <w:link w:val="Style_22_ch"/>
    <w:pPr>
      <w:spacing w:line="360" w:lineRule="auto"/>
      <w:ind/>
    </w:pPr>
    <w:rPr>
      <w:rFonts w:ascii="XO Thames" w:hAnsi="XO Thames"/>
      <w:sz w:val="20"/>
    </w:rPr>
  </w:style>
  <w:style w:styleId="Style_22_ch" w:type="character">
    <w:name w:val="Header and Footer"/>
    <w:link w:val="Style_22"/>
    <w:rPr>
      <w:rFonts w:ascii="XO Thames" w:hAnsi="XO Thames"/>
      <w:sz w:val="20"/>
    </w:rPr>
  </w:style>
  <w:style w:styleId="Style_6" w:type="paragraph">
    <w:name w:val="ConsPlusNormal"/>
    <w:link w:val="Style_6_ch"/>
    <w:pPr>
      <w:spacing w:after="0" w:line="240" w:lineRule="auto"/>
      <w:ind w:firstLine="720"/>
    </w:pPr>
    <w:rPr>
      <w:rFonts w:ascii="Arial" w:hAnsi="Arial"/>
      <w:sz w:val="20"/>
    </w:rPr>
  </w:style>
  <w:style w:styleId="Style_6_ch" w:type="character">
    <w:name w:val="ConsPlusNormal"/>
    <w:link w:val="Style_6"/>
    <w:rPr>
      <w:rFonts w:ascii="Arial" w:hAnsi="Arial"/>
      <w:sz w:val="20"/>
    </w:rPr>
  </w:style>
  <w:style w:styleId="Style_23" w:type="paragraph">
    <w:name w:val="List Paragraph"/>
    <w:basedOn w:val="Style_8"/>
    <w:link w:val="Style_23_ch"/>
    <w:pPr>
      <w:widowControl w:val="0"/>
      <w:ind w:firstLine="0" w:left="720"/>
      <w:contextualSpacing w:val="1"/>
    </w:pPr>
  </w:style>
  <w:style w:styleId="Style_23_ch" w:type="character">
    <w:name w:val="List Paragraph"/>
    <w:basedOn w:val="Style_8_ch"/>
    <w:link w:val="Style_23"/>
  </w:style>
  <w:style w:styleId="Style_24" w:type="paragraph">
    <w:name w:val="toc 9"/>
    <w:next w:val="Style_8"/>
    <w:link w:val="Style_24_ch"/>
    <w:uiPriority w:val="39"/>
    <w:pPr>
      <w:ind w:firstLine="0" w:left="1600"/>
    </w:pPr>
  </w:style>
  <w:style w:styleId="Style_24_ch" w:type="character">
    <w:name w:val="toc 9"/>
    <w:link w:val="Style_24"/>
  </w:style>
  <w:style w:styleId="Style_25" w:type="paragraph">
    <w:name w:val="toc 8"/>
    <w:next w:val="Style_8"/>
    <w:link w:val="Style_25_ch"/>
    <w:uiPriority w:val="39"/>
    <w:pPr>
      <w:ind w:firstLine="0" w:left="1400"/>
    </w:pPr>
  </w:style>
  <w:style w:styleId="Style_25_ch" w:type="character">
    <w:name w:val="toc 8"/>
    <w:link w:val="Style_25"/>
  </w:style>
  <w:style w:styleId="Style_2" w:type="paragraph">
    <w:name w:val="Абзац списка1"/>
    <w:basedOn w:val="Style_8"/>
    <w:link w:val="Style_2_ch"/>
    <w:pPr>
      <w:ind w:firstLine="0" w:left="720"/>
      <w:contextualSpacing w:val="1"/>
    </w:pPr>
    <w:rPr>
      <w:sz w:val="20"/>
    </w:rPr>
  </w:style>
  <w:style w:styleId="Style_2_ch" w:type="character">
    <w:name w:val="Абзац списка1"/>
    <w:basedOn w:val="Style_8_ch"/>
    <w:link w:val="Style_2"/>
    <w:rPr>
      <w:sz w:val="20"/>
    </w:rPr>
  </w:style>
  <w:style w:styleId="Style_26" w:type="paragraph">
    <w:name w:val="toc 5"/>
    <w:next w:val="Style_8"/>
    <w:link w:val="Style_26_ch"/>
    <w:uiPriority w:val="39"/>
    <w:pPr>
      <w:ind w:firstLine="0" w:left="800"/>
    </w:pPr>
  </w:style>
  <w:style w:styleId="Style_26_ch" w:type="character">
    <w:name w:val="toc 5"/>
    <w:link w:val="Style_26"/>
  </w:style>
  <w:style w:styleId="Style_27" w:type="paragraph">
    <w:name w:val="Subtitle"/>
    <w:next w:val="Style_8"/>
    <w:link w:val="Style_27_ch"/>
    <w:uiPriority w:val="11"/>
    <w:qFormat/>
    <w:rPr>
      <w:rFonts w:ascii="XO Thames" w:hAnsi="XO Thames"/>
      <w:i w:val="1"/>
      <w:color w:val="616161"/>
      <w:sz w:val="24"/>
    </w:rPr>
  </w:style>
  <w:style w:styleId="Style_27_ch" w:type="character">
    <w:name w:val="Subtitle"/>
    <w:link w:val="Style_27"/>
    <w:rPr>
      <w:rFonts w:ascii="XO Thames" w:hAnsi="XO Thames"/>
      <w:i w:val="1"/>
      <w:color w:val="616161"/>
      <w:sz w:val="24"/>
    </w:rPr>
  </w:style>
  <w:style w:styleId="Style_28" w:type="paragraph">
    <w:name w:val="toc 10"/>
    <w:next w:val="Style_8"/>
    <w:link w:val="Style_28_ch"/>
    <w:uiPriority w:val="39"/>
    <w:pPr>
      <w:ind w:firstLine="0" w:left="1800"/>
    </w:pPr>
  </w:style>
  <w:style w:styleId="Style_28_ch" w:type="character">
    <w:name w:val="toc 10"/>
    <w:link w:val="Style_28"/>
  </w:style>
  <w:style w:styleId="Style_29" w:type="paragraph">
    <w:name w:val="Title"/>
    <w:basedOn w:val="Style_8"/>
    <w:link w:val="Style_29_ch"/>
    <w:uiPriority w:val="10"/>
    <w:qFormat/>
    <w:pPr>
      <w:ind w:firstLine="0" w:left="4111"/>
      <w:jc w:val="center"/>
    </w:pPr>
    <w:rPr>
      <w:rFonts w:asciiTheme="minorAscii" w:hAnsiTheme="minorHAnsi"/>
    </w:rPr>
  </w:style>
  <w:style w:styleId="Style_29_ch" w:type="character">
    <w:name w:val="Title"/>
    <w:basedOn w:val="Style_8_ch"/>
    <w:link w:val="Style_29"/>
    <w:rPr>
      <w:rFonts w:asciiTheme="minorAscii" w:hAnsiTheme="minorHAnsi"/>
    </w:rPr>
  </w:style>
  <w:style w:styleId="Style_30" w:type="paragraph">
    <w:name w:val="heading 4"/>
    <w:next w:val="Style_8"/>
    <w:link w:val="Style_30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30_ch" w:type="character">
    <w:name w:val="heading 4"/>
    <w:link w:val="Style_30"/>
    <w:rPr>
      <w:rFonts w:ascii="XO Thames" w:hAnsi="XO Thames"/>
      <w:b w:val="1"/>
      <w:color w:val="595959"/>
      <w:sz w:val="26"/>
    </w:rPr>
  </w:style>
  <w:style w:styleId="Style_31" w:type="paragraph">
    <w:name w:val="heading 2"/>
    <w:next w:val="Style_8"/>
    <w:link w:val="Style_31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31_ch" w:type="character">
    <w:name w:val="heading 2"/>
    <w:link w:val="Style_31"/>
    <w:rPr>
      <w:rFonts w:ascii="XO Thames" w:hAnsi="XO Thames"/>
      <w:b w:val="1"/>
      <w:color w:val="00A0FF"/>
      <w:sz w:val="26"/>
    </w:rPr>
  </w:style>
  <w:style w:default="1" w:styleId="Style_5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1" w:type="table">
    <w:name w:val="Table Grid"/>
    <w:basedOn w:val="Style_5"/>
    <w:pPr>
      <w:spacing w:after="0" w:line="240" w:lineRule="auto"/>
      <w:ind/>
    </w:pPr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MyOffice-CoreFramework-Windows/22-903.417.5503.534.7@RELEASE-DESKTOP-SORREL_HOME-RC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2022-04-12T08:01:16Z</dcterms:modified>
</cp:coreProperties>
</file>