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right"/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C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«01</w:t>
            </w:r>
            <w:r>
              <w:rPr>
                <w:sz w:val="28"/>
                <w:u w:val="single"/>
              </w:rPr>
              <w:t>» февраля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4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5  </w:t>
            </w:r>
          </w:p>
        </w:tc>
      </w:tr>
    </w:tbl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 xml:space="preserve">отчета за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2000000">
            <w:pPr>
              <w:rPr>
                <w:sz w:val="28"/>
              </w:rPr>
            </w:pPr>
          </w:p>
        </w:tc>
      </w:tr>
    </w:tbl>
    <w:p w14:paraId="13000000">
      <w:pPr>
        <w:ind w:firstLine="709"/>
        <w:jc w:val="both"/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5000000">
      <w:pPr>
        <w:ind w:firstLine="709"/>
        <w:jc w:val="both"/>
        <w:rPr>
          <w:sz w:val="28"/>
        </w:rPr>
      </w:pPr>
    </w:p>
    <w:p w14:paraId="16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7000000">
      <w:pPr>
        <w:ind w:firstLine="709"/>
        <w:jc w:val="center"/>
        <w:rPr>
          <w:sz w:val="28"/>
        </w:rPr>
      </w:pP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>(приложение №1)</w:t>
      </w:r>
      <w:r>
        <w:rPr>
          <w:sz w:val="28"/>
        </w:rPr>
        <w:t>.</w:t>
      </w: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B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1F000000">
            <w:pPr>
              <w:ind/>
              <w:jc w:val="both"/>
              <w:rPr>
                <w:sz w:val="28"/>
              </w:rPr>
            </w:pPr>
          </w:p>
          <w:p w14:paraId="2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ind/>
              <w:jc w:val="both"/>
              <w:rPr>
                <w:sz w:val="28"/>
              </w:rPr>
            </w:pP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3000000">
            <w:pPr>
              <w:ind/>
              <w:jc w:val="both"/>
              <w:rPr>
                <w:sz w:val="28"/>
              </w:rPr>
            </w:pP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</w:tc>
      </w:tr>
    </w:tbl>
    <w:p w14:paraId="2A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rPr>
          <w:rFonts w:ascii="Times New Roman" w:hAnsi="Times New Roman"/>
          <w:sz w:val="24"/>
        </w:rPr>
      </w:pPr>
    </w:p>
    <w:p w14:paraId="2F000000">
      <w:pPr>
        <w:sectPr>
          <w:pgSz w:h="16838" w:w="11906"/>
          <w:pgMar w:bottom="1134" w:footer="708" w:gutter="0" w:header="708" w:left="1701" w:right="850" w:top="284"/>
        </w:sectPr>
      </w:pPr>
    </w:p>
    <w:p w14:paraId="30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1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«01</w:t>
      </w:r>
      <w:r>
        <w:rPr>
          <w:rFonts w:ascii="Times New Roman" w:hAnsi="Times New Roman"/>
          <w:sz w:val="24"/>
        </w:rPr>
        <w:t>» февраля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14:paraId="35000000">
      <w:pPr>
        <w:widowControl w:val="0"/>
        <w:ind/>
        <w:outlineLvl w:val="2"/>
        <w:rPr>
          <w:sz w:val="24"/>
        </w:rPr>
      </w:pPr>
    </w:p>
    <w:p w14:paraId="36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01.01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4</w:t>
      </w:r>
      <w:r>
        <w:rPr>
          <w:sz w:val="28"/>
        </w:rPr>
        <w:t xml:space="preserve"> года)</w:t>
      </w:r>
    </w:p>
    <w:p w14:paraId="38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9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82"/>
        <w:gridCol w:w="731"/>
        <w:gridCol w:w="1084"/>
        <w:gridCol w:w="725"/>
        <w:gridCol w:w="935"/>
        <w:gridCol w:w="913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3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2023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1960,9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1960,9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524,5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524,5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511,9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511,9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917,6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543,5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A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1383,6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1383,6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34560,9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1514,1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32293,5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6767,8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198,0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6569,8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6746,2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176,4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6569,8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2124,5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730,6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730,6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730,4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74</w:t>
            </w:r>
            <w:r>
              <w:rPr>
                <w:b w:val="1"/>
              </w:rPr>
              <w:t>385,6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74385,6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6291,4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6291,4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6235,7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b w:val="1"/>
              </w:rPr>
            </w:pPr>
            <w:r>
              <w:rPr>
                <w:b w:val="1"/>
              </w:rPr>
              <w:t>6235,7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117281,1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2686,6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113841,2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b w:val="1"/>
              </w:rPr>
            </w:pPr>
            <w:r>
              <w:rPr>
                <w:b w:val="1"/>
              </w:rPr>
              <w:t>14418,9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198,0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14220,9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b w:val="1"/>
              </w:rPr>
            </w:pPr>
            <w:r>
              <w:rPr>
                <w:b w:val="1"/>
              </w:rPr>
              <w:t>14328,9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176,4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14152,5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0F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11" w:type="paragraph">
    <w:name w:val="Body Text"/>
    <w:basedOn w:val="Style_4"/>
    <w:link w:val="Style_11_ch"/>
    <w:pPr>
      <w:spacing w:after="120"/>
      <w:ind/>
    </w:pPr>
    <w:rPr>
      <w:sz w:val="24"/>
    </w:rPr>
  </w:style>
  <w:style w:styleId="Style_11_ch" w:type="character">
    <w:name w:val="Body Text"/>
    <w:basedOn w:val="Style_4_ch"/>
    <w:link w:val="Style_11"/>
    <w:rPr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2024-02-07T07:07:32Z</dcterms:modified>
</cp:coreProperties>
</file>