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21</w:t>
            </w:r>
            <w:r>
              <w:rPr>
                <w:sz w:val="28"/>
              </w:rPr>
              <w:t xml:space="preserve"> июля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43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1 полугодие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1 полугодие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3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7 058,2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6 714,1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344,1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1 полугодие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23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1 полугодие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23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7058,2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52,2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 xml:space="preserve">6714,1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48,3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 составил</w:t>
      </w:r>
      <w:r>
        <w:rPr>
          <w:sz w:val="28"/>
        </w:rPr>
        <w:t xml:space="preserve"> 344,1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Увеличе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1332,9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962,5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863,6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24</w:t>
      </w:r>
      <w:r>
        <w:rPr>
          <w:sz w:val="28"/>
        </w:rPr>
        <w:t>,2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>Данный показатель ниже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79,0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302,5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35,0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 xml:space="preserve">312,8 </w:t>
      </w:r>
      <w:r>
        <w:rPr>
          <w:sz w:val="28"/>
        </w:rPr>
        <w:t xml:space="preserve">тыс. рублей или </w:t>
      </w:r>
      <w:r>
        <w:rPr>
          <w:sz w:val="28"/>
        </w:rPr>
        <w:t>36,2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6194,6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2830,7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37,6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>Жилищно-коммунальное хозяйство – 386,7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3095,2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tabs>
          <w:tab w:leader="none" w:pos="2119" w:val="left"/>
        </w:tabs>
        <w:ind/>
        <w:rPr>
          <w:sz w:val="28"/>
        </w:rPr>
      </w:pPr>
    </w:p>
    <w:p w14:paraId="4D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F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 xml:space="preserve"> от </w:t>
      </w:r>
      <w:r>
        <w:rPr>
          <w:color w:val="000000"/>
        </w:rPr>
        <w:t xml:space="preserve">   </w:t>
      </w:r>
      <w:r>
        <w:rPr>
          <w:color w:val="000000"/>
        </w:rPr>
        <w:t>.</w:t>
      </w:r>
      <w:r>
        <w:rPr>
          <w:color w:val="000000"/>
        </w:rPr>
        <w:t>07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г.</w:t>
      </w:r>
    </w:p>
    <w:tbl>
      <w:tblPr>
        <w:tblStyle w:val="Style_1"/>
        <w:tblLayout w:type="fixed"/>
      </w:tblPr>
      <w:tblGrid>
        <w:gridCol w:w="467"/>
        <w:gridCol w:w="4841"/>
        <w:gridCol w:w="965"/>
        <w:gridCol w:w="1020"/>
        <w:gridCol w:w="945"/>
        <w:gridCol w:w="990"/>
        <w:gridCol w:w="1000"/>
        <w:gridCol w:w="200"/>
      </w:tblGrid>
      <w:tr>
        <w:trPr>
          <w:trHeight w:hRule="atLeast" w:val="450"/>
        </w:trPr>
        <w:tc>
          <w:tcPr>
            <w:tcW w:type="dxa" w:w="10428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2023г.</w:t>
            </w:r>
          </w:p>
        </w:tc>
      </w:tr>
      <w:tr>
        <w:tc>
          <w:tcPr>
            <w:tcW w:type="dxa" w:w="10428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5308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2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120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3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01.07.2023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01.07.2023)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01.07.2023 ГОДА)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2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3364,30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773,70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773,80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-2590,50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474,90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-334,90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464,90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312,80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-152,10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393,90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-375,40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2030,60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302,50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-1728,10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204,70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89,60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89,80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-114,90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43,9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192,50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89,30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3569,00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863,30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863,60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-2705,40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9947,50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6194,60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6194,60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-3752,90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62,3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9947,50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6194,60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6194,60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-3752,90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62,3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9829,70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6156,80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6156,80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-3672,90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117,80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D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6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6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13516,50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7057,90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7058,20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-6458,30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52,2</w:t>
            </w:r>
          </w:p>
        </w:tc>
        <w:tc>
          <w:tcPr>
            <w:tcW w:type="dxa" w:w="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4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5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B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13516,50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7057,90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7058,20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-6458,30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52,2</w:t>
            </w:r>
          </w:p>
        </w:tc>
        <w:tc>
          <w:tcPr>
            <w:tcW w:type="dxa" w:w="20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4010000">
      <w:pPr>
        <w:tabs>
          <w:tab w:leader="none" w:pos="2119" w:val="left"/>
        </w:tabs>
        <w:ind/>
        <w:rPr>
          <w:sz w:val="28"/>
        </w:rPr>
      </w:pPr>
    </w:p>
    <w:p w14:paraId="85010000">
      <w:pPr>
        <w:tabs>
          <w:tab w:leader="none" w:pos="2119" w:val="left"/>
        </w:tabs>
        <w:ind/>
        <w:rPr>
          <w:sz w:val="28"/>
        </w:rPr>
      </w:pPr>
    </w:p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tabs>
          <w:tab w:leader="none" w:pos="2119" w:val="left"/>
        </w:tabs>
        <w:ind/>
        <w:rPr>
          <w:sz w:val="28"/>
        </w:rPr>
      </w:pPr>
    </w:p>
    <w:p w14:paraId="A4010000">
      <w:pPr>
        <w:tabs>
          <w:tab w:leader="none" w:pos="2119" w:val="left"/>
        </w:tabs>
        <w:ind/>
        <w:rPr>
          <w:sz w:val="28"/>
        </w:rPr>
      </w:pPr>
    </w:p>
    <w:p w14:paraId="A5010000">
      <w:pPr>
        <w:tabs>
          <w:tab w:leader="none" w:pos="2119" w:val="left"/>
        </w:tabs>
        <w:ind/>
        <w:rPr>
          <w:sz w:val="28"/>
        </w:rPr>
      </w:pPr>
    </w:p>
    <w:p w14:paraId="A6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7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8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  </w:t>
      </w:r>
      <w:r>
        <w:rPr>
          <w:color w:val="000000"/>
        </w:rPr>
        <w:t>.07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г.</w:t>
      </w:r>
    </w:p>
    <w:p w14:paraId="A9010000">
      <w:pPr>
        <w:ind/>
        <w:jc w:val="center"/>
        <w:rPr>
          <w:color w:val="000000"/>
        </w:rPr>
      </w:pPr>
    </w:p>
    <w:p w14:paraId="AA010000">
      <w:pPr>
        <w:ind/>
        <w:jc w:val="center"/>
        <w:rPr>
          <w:color w:val="000000"/>
        </w:rPr>
      </w:pPr>
    </w:p>
    <w:p w14:paraId="AB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C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D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01.07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2023</w:t>
      </w:r>
      <w:r>
        <w:rPr>
          <w:b w:val="1"/>
          <w:i w:val="1"/>
          <w:color w:val="000000"/>
          <w:sz w:val="32"/>
        </w:rPr>
        <w:t>года</w:t>
      </w:r>
    </w:p>
    <w:p w14:paraId="AE010000">
      <w:pPr>
        <w:ind/>
        <w:jc w:val="center"/>
        <w:rPr>
          <w:color w:val="000000"/>
        </w:rPr>
      </w:pPr>
    </w:p>
    <w:tbl>
      <w:tblPr>
        <w:tblStyle w:val="Style_1"/>
        <w:tblLayout w:type="fixed"/>
      </w:tblPr>
      <w:tblGrid>
        <w:gridCol w:w="493"/>
        <w:gridCol w:w="5138"/>
        <w:gridCol w:w="1200"/>
        <w:gridCol w:w="1185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2023г.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01.07.2023г.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398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6544,1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2830,7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-3713,4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43,3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6314,1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2737,9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-3576,2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</w:tr>
      <w:tr>
        <w:trPr>
          <w:trHeight w:hRule="exact" w:val="40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0107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219,8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-132,2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117,6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117,6</w:t>
            </w:r>
          </w:p>
        </w:tc>
        <w:tc>
          <w:tcPr>
            <w:tcW w:type="dxa" w:w="118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41,0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73,2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0406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635,4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386,7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-248,7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60,9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1185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188,8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-111,2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62,9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335,4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-137,5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0600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5861,2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3095,2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-2766,0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52,8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5861,2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3095,2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-2766,0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0909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333,9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-366,1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47,7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-366,1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47,7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13904,80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6714,10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-7190,7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48,3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-388,3</w:t>
            </w:r>
          </w:p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344,1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732,4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-88,6</w:t>
            </w:r>
          </w:p>
        </w:tc>
      </w:tr>
    </w:tbl>
    <w:p w14:paraId="1D030000">
      <w:pPr>
        <w:tabs>
          <w:tab w:leader="none" w:pos="8880" w:val="left"/>
        </w:tabs>
        <w:ind/>
        <w:rPr>
          <w:color w:val="000000"/>
        </w:rPr>
      </w:pPr>
    </w:p>
    <w:p w14:paraId="1E030000">
      <w:pPr>
        <w:tabs>
          <w:tab w:leader="none" w:pos="8880" w:val="left"/>
        </w:tabs>
        <w:ind/>
        <w:rPr>
          <w:color w:val="000000"/>
        </w:rPr>
      </w:pPr>
    </w:p>
    <w:p w14:paraId="1F030000">
      <w:pPr>
        <w:tabs>
          <w:tab w:leader="none" w:pos="8880" w:val="left"/>
        </w:tabs>
        <w:ind/>
        <w:rPr>
          <w:color w:val="000000"/>
        </w:rPr>
      </w:pPr>
    </w:p>
    <w:p w14:paraId="20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21030000">
      <w:pPr>
        <w:tabs>
          <w:tab w:leader="none" w:pos="2880" w:val="left"/>
        </w:tabs>
        <w:ind/>
        <w:rPr>
          <w:color w:val="000000"/>
        </w:rPr>
      </w:pPr>
    </w:p>
    <w:p w14:paraId="22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23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24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 </w:t>
      </w:r>
      <w:r>
        <w:rPr>
          <w:color w:val="000000"/>
        </w:rPr>
        <w:t>.</w:t>
      </w:r>
      <w:r>
        <w:rPr>
          <w:color w:val="000000"/>
        </w:rPr>
        <w:t>07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25030000">
      <w:pPr>
        <w:ind/>
        <w:jc w:val="center"/>
        <w:rPr>
          <w:b w:val="1"/>
          <w:color w:val="000000"/>
        </w:rPr>
      </w:pPr>
    </w:p>
    <w:p w14:paraId="26030000">
      <w:pPr>
        <w:ind/>
        <w:jc w:val="center"/>
        <w:rPr>
          <w:b w:val="1"/>
          <w:color w:val="000000"/>
        </w:rPr>
      </w:pPr>
    </w:p>
    <w:p w14:paraId="27030000">
      <w:pPr>
        <w:rPr>
          <w:b w:val="1"/>
          <w:color w:val="000000"/>
        </w:rPr>
      </w:pPr>
    </w:p>
    <w:p w14:paraId="28030000">
      <w:pPr>
        <w:ind/>
        <w:jc w:val="center"/>
        <w:rPr>
          <w:b w:val="1"/>
          <w:color w:val="000000"/>
        </w:rPr>
      </w:pPr>
    </w:p>
    <w:p w14:paraId="29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2A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2B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2C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2D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июля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2023</w:t>
      </w:r>
      <w:r>
        <w:rPr>
          <w:b w:val="1"/>
          <w:color w:val="000000"/>
          <w:u w:val="single"/>
        </w:rPr>
        <w:t xml:space="preserve"> года </w:t>
      </w:r>
    </w:p>
    <w:p w14:paraId="2E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2F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30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31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highlight w:val="yellow"/>
              </w:rPr>
            </w:pPr>
            <w:r>
              <w:t>1745,0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1302,9</w:t>
            </w:r>
          </w:p>
        </w:tc>
      </w:tr>
    </w:tbl>
    <w:p w14:paraId="42030000">
      <w:pPr>
        <w:rPr>
          <w:color w:val="000000"/>
        </w:rPr>
      </w:pPr>
    </w:p>
    <w:p w14:paraId="43030000">
      <w:pPr>
        <w:rPr>
          <w:color w:val="000000"/>
        </w:rPr>
      </w:pPr>
    </w:p>
    <w:p w14:paraId="44030000">
      <w:pPr>
        <w:rPr>
          <w:color w:val="000000"/>
        </w:rPr>
      </w:pPr>
    </w:p>
    <w:p w14:paraId="45030000">
      <w:pPr>
        <w:rPr>
          <w:color w:val="000000"/>
        </w:rPr>
      </w:pPr>
    </w:p>
    <w:p w14:paraId="46030000">
      <w:pPr>
        <w:rPr>
          <w:color w:val="000000"/>
        </w:rPr>
      </w:pPr>
    </w:p>
    <w:p w14:paraId="47030000">
      <w:pPr>
        <w:rPr>
          <w:color w:val="000000"/>
        </w:rPr>
      </w:pPr>
    </w:p>
    <w:sectPr>
      <w:pgSz w:h="16838" w:w="11906"/>
      <w:pgMar w:bottom="851" w:footer="709" w:gutter="0" w:header="709" w:left="1260" w:right="441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ConsPlusNormal"/>
    <w:link w:val="Style_5_ch"/>
    <w:pPr>
      <w:widowControl w:val="0"/>
      <w:ind w:firstLine="72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ody Text"/>
    <w:basedOn w:val="Style_2"/>
    <w:link w:val="Style_8_ch"/>
    <w:pPr>
      <w:spacing w:after="120"/>
      <w:ind/>
    </w:pPr>
  </w:style>
  <w:style w:styleId="Style_8_ch" w:type="character">
    <w:name w:val="Body Text"/>
    <w:basedOn w:val="Style_2_ch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9_ch" w:type="character">
    <w:name w:val="heading 3"/>
    <w:basedOn w:val="Style_2_ch"/>
    <w:link w:val="Style_9"/>
    <w:rPr>
      <w:rFonts w:ascii="Arial" w:hAnsi="Arial"/>
      <w:b w:val="1"/>
      <w:sz w:val="26"/>
    </w:rPr>
  </w:style>
  <w:style w:styleId="Style_10" w:type="paragraph">
    <w:name w:val="Body Text Indent"/>
    <w:basedOn w:val="Style_2"/>
    <w:link w:val="Style_10_ch"/>
    <w:pPr>
      <w:ind w:firstLine="708"/>
      <w:jc w:val="both"/>
    </w:pPr>
    <w:rPr>
      <w:sz w:val="28"/>
    </w:rPr>
  </w:style>
  <w:style w:styleId="Style_10_ch" w:type="character">
    <w:name w:val="Body Text Indent"/>
    <w:basedOn w:val="Style_2_ch"/>
    <w:link w:val="Style_10"/>
    <w:rPr>
      <w:sz w:val="28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5"/>
    <w:basedOn w:val="Style_2"/>
    <w:next w:val="Style_2"/>
    <w:link w:val="Style_1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4_ch" w:type="character">
    <w:name w:val="heading 5"/>
    <w:basedOn w:val="Style_2_ch"/>
    <w:link w:val="Style_14"/>
    <w:rPr>
      <w:b w:val="1"/>
      <w:i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2_ch"/>
    <w:link w:val="Style_16"/>
    <w:rPr>
      <w:rFonts w:ascii="Arial" w:hAnsi="Arial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</w:rPr>
  </w:style>
  <w:style w:styleId="Style_22_ch" w:type="character">
    <w:name w:val="ConsTitle"/>
    <w:link w:val="Style_22"/>
    <w:rPr>
      <w:rFonts w:ascii="Arial" w:hAnsi="Arial"/>
      <w:b w:val="1"/>
    </w:rPr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2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2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2"/>
    <w:link w:val="Style_27_ch"/>
    <w:uiPriority w:val="10"/>
    <w:qFormat/>
    <w:pPr>
      <w:ind w:firstLine="0" w:left="4111"/>
      <w:jc w:val="center"/>
    </w:pPr>
  </w:style>
  <w:style w:styleId="Style_27_ch" w:type="character">
    <w:name w:val="Title"/>
    <w:basedOn w:val="Style_2_ch"/>
    <w:link w:val="Style_27"/>
  </w:style>
  <w:style w:styleId="Style_28" w:type="paragraph">
    <w:name w:val="heading 4"/>
    <w:basedOn w:val="Style_2"/>
    <w:next w:val="Style_2"/>
    <w:link w:val="Style_2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28_ch" w:type="character">
    <w:name w:val="heading 4"/>
    <w:basedOn w:val="Style_2_ch"/>
    <w:link w:val="Style_28"/>
    <w:rPr>
      <w:b w:val="1"/>
      <w:sz w:val="28"/>
    </w:rPr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9_ch" w:type="character">
    <w:name w:val="heading 2"/>
    <w:basedOn w:val="Style_2_ch"/>
    <w:link w:val="Style_29"/>
    <w:rPr>
      <w:rFonts w:ascii="Arial" w:hAnsi="Arial"/>
      <w:b w:val="1"/>
      <w:i w:val="1"/>
      <w:sz w:val="28"/>
    </w:rPr>
  </w:style>
  <w:style w:styleId="Style_30" w:type="paragraph">
    <w:name w:val="Основной текст 31"/>
    <w:basedOn w:val="Style_2"/>
    <w:link w:val="Style_30_ch"/>
    <w:pPr>
      <w:ind/>
      <w:jc w:val="center"/>
    </w:pPr>
    <w:rPr>
      <w:b w:val="1"/>
      <w:sz w:val="27"/>
    </w:rPr>
  </w:style>
  <w:style w:styleId="Style_30_ch" w:type="character">
    <w:name w:val="Основной текст 31"/>
    <w:basedOn w:val="Style_2_ch"/>
    <w:link w:val="Style_30"/>
    <w:rPr>
      <w:b w:val="1"/>
      <w:sz w:val="27"/>
    </w:rPr>
  </w:style>
  <w:style w:styleId="Style_31" w:type="paragraph">
    <w:name w:val="Body Text 2"/>
    <w:basedOn w:val="Style_2"/>
    <w:link w:val="Style_31_ch"/>
    <w:rPr>
      <w:sz w:val="28"/>
    </w:rPr>
  </w:style>
  <w:style w:styleId="Style_31_ch" w:type="character">
    <w:name w:val="Body Text 2"/>
    <w:basedOn w:val="Style_2_ch"/>
    <w:link w:val="Style_31"/>
    <w:rPr>
      <w:sz w:val="28"/>
    </w:r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2023-08-02T06:08:04Z</dcterms:modified>
</cp:coreProperties>
</file>