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spacing w:line="302" w:lineRule="atLeast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аспорт налогового расхода  </w:t>
      </w:r>
    </w:p>
    <w:p w14:paraId="06000000">
      <w:pPr>
        <w:spacing w:line="302" w:lineRule="atLeast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Костино-Быстрянского сельского поселения</w:t>
      </w:r>
    </w:p>
    <w:p w14:paraId="07000000">
      <w:pPr>
        <w:spacing w:line="302" w:lineRule="atLeast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Style w:val="Style_2"/>
        <w:tblInd w:type="dxa" w:w="-222"/>
        <w:tblLayout w:type="fixed"/>
        <w:tblCellMar>
          <w:left w:type="dxa" w:w="0"/>
          <w:right w:type="dxa" w:w="0"/>
        </w:tblCellMar>
      </w:tblPr>
      <w:tblGrid>
        <w:gridCol w:w="663"/>
        <w:gridCol w:w="4085"/>
        <w:gridCol w:w="4931"/>
        <w:gridCol w:w="4500"/>
        <w:gridCol w:w="11"/>
      </w:tblGrid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8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9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Предоставляемая информация</w:t>
            </w:r>
          </w:p>
        </w:tc>
        <w:tc>
          <w:tcPr>
            <w:tcW w:type="dxa" w:w="944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A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данных</w:t>
            </w:r>
          </w:p>
        </w:tc>
      </w:tr>
      <w:tr>
        <w:trPr>
          <w:trHeight w:hRule="atLeast" w:val="252"/>
        </w:trP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B000000">
            <w:pPr>
              <w:spacing w:line="259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C000000">
            <w:pPr>
              <w:spacing w:line="259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944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D000000">
            <w:pPr>
              <w:spacing w:line="259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559"/>
          <w:hidden w:val="0"/>
        </w:trPr>
        <w:tc>
          <w:tcPr>
            <w:tcW w:type="dxa" w:w="14190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E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Нормативные характеристики налогового расхода </w:t>
            </w:r>
          </w:p>
        </w:tc>
      </w:tr>
      <w:tr>
        <w:trPr>
          <w:trHeight w:hRule="atLeast" w:val="982"/>
        </w:trP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F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0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налогов, по которым предусматриваются налоговые льготы, освобождения и иные преференции</w:t>
            </w:r>
          </w:p>
        </w:tc>
        <w:tc>
          <w:tcPr>
            <w:tcW w:type="dxa" w:w="944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1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2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правовые акты, которыми предусматриваются налоговые льготы, </w:t>
            </w:r>
          </w:p>
          <w:p w14:paraId="14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освобождения и иные преференции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5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Собрания депутатов Костино-Быстрянского сельского поселения №44 от 21.11.2017 "О налоге</w:t>
            </w:r>
            <w:r>
              <w:rPr>
                <w:rFonts w:ascii="Times New Roman" w:hAnsi="Times New Roman"/>
              </w:rPr>
              <w:t xml:space="preserve"> на имущество физических лиц" (</w:t>
            </w:r>
            <w:r>
              <w:rPr>
                <w:rFonts w:ascii="Times New Roman" w:hAnsi="Times New Roman"/>
              </w:rPr>
              <w:t>в редакции с учетом решений №79 от 26.11.2018, № 105 от 27.11.2019)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000000">
            <w:pPr>
              <w:spacing w:line="302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решение Собрания депутатов Костино-Быстрянского сельского поселения №44 от 21.11.2017 "О налоге</w:t>
            </w:r>
            <w:r>
              <w:rPr>
                <w:rFonts w:ascii="Times New Roman" w:hAnsi="Times New Roman"/>
              </w:rPr>
              <w:t xml:space="preserve"> на имущество физических лиц" (</w:t>
            </w:r>
            <w:r>
              <w:rPr>
                <w:rFonts w:ascii="Times New Roman" w:hAnsi="Times New Roman"/>
              </w:rPr>
              <w:t>в редакции с учетом решений №79 от 26.11.2018,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 105 от 27.11.2019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7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8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плательщиков налогов, для которых предусмотрены налоговые льготы, </w:t>
            </w:r>
          </w:p>
          <w:p w14:paraId="19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освобождения и иные преференции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A000000">
            <w:pPr>
              <w:spacing w:line="302" w:lineRule="atLeast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Физические лица</w:t>
            </w:r>
          </w:p>
          <w:p w14:paraId="1B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spacing w:line="302" w:lineRule="atLeast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Физические лица</w:t>
            </w:r>
          </w:p>
          <w:p w14:paraId="1D000000">
            <w:pPr>
              <w:spacing w:line="302" w:lineRule="atLeas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E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F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0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Освобождение от уплаты налога на жилые строения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Освобождение от уплаты налога на жилые строения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2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4000000">
            <w:pPr>
              <w:spacing w:line="302" w:lineRule="atLeast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Граждане Российской Федерации, имеющие в составе семьи детей - инвалидов и совместно проживающих с ними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000000">
            <w:pPr>
              <w:spacing w:line="302" w:lineRule="atLeast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Граждане Российской Федерации, имеющие в составе семьи 3-х и более детей, (в том числе граждане, имеющие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входящие в состав данной семьи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6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7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8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A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B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C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D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F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4179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Целевые характеристики налогового расхода </w:t>
            </w:r>
          </w:p>
          <w:p w14:paraId="3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2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 налоговых расходов Костино-Быстрянского сельского поселения 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4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налоговая льгота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налоговая льгота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6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7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8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льготных категорий граждан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льготных категорий граждан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A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B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муниципальных программ Костино-Быстрянского сельского поселения, наименования нормативных правовых актов, определяющих цели социально-экономического развития Костино-Быстрянского сельского поселения, не относящиеся к муниципальным программам Костино-Быстрянского сельского поселения, в целях реализации которых, предоставляются налоговые льготы, освобождения и иные преференции 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C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E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F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структурных элементов муниципальных программ Костино-Быстрянского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0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1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(индикаторы) достижения целей муниципальных программ Костино-Быстрянского сельского поселения  и (или) целей социально-экономического развития Костино-Быстрянского сельского поселения, не относящихся к муниципальным программам Костино-Быстрянского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4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социальной поддержки населения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социальной поддержки населения</w:t>
            </w:r>
            <w:r>
              <w:rPr>
                <w:rFonts w:ascii="Times New Roman" w:hAnsi="Times New Roman"/>
              </w:rPr>
              <w:t> 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6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7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(индикаторов) достижения целей муниципальных программ Костино-Быстрянского сельского поселения  и (или) целей социально-экономического развития Костино-Быстрянского сельского поселения, не относящихся к муниципальным программам Костино-Быстрянского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8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достигнута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9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достигнута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A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B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Прогнозные (оценочные) значения показателей (индикаторов) достижения целей муниципальных программ Костино-Быстрянского сельского поселения  и (или) целей социально-экономического развития Костино-Быстрянского сельского поселения, не относящихся к муниципальным программам Костино-Быстрянского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C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0,0 тыс. рублей</w:t>
            </w:r>
          </w:p>
          <w:p w14:paraId="4D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0,0 тыс. рублей</w:t>
            </w:r>
          </w:p>
          <w:p w14:paraId="4E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</w:t>
            </w:r>
            <w:r>
              <w:rPr>
                <w:rFonts w:ascii="Times New Roman" w:hAnsi="Times New Roman"/>
              </w:rPr>
              <w:t xml:space="preserve"> 0,0 тыс. рублей </w:t>
            </w:r>
          </w:p>
          <w:p w14:paraId="4F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0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5,0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14:paraId="51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5,0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14:paraId="52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</w:t>
            </w:r>
            <w:r>
              <w:rPr>
                <w:rFonts w:ascii="Times New Roman" w:hAnsi="Times New Roman"/>
              </w:rPr>
              <w:t xml:space="preserve"> 5,0 тыс. рублей</w:t>
            </w:r>
          </w:p>
          <w:p w14:paraId="5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4179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4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Фискальные характеристики налогового расхода</w:t>
            </w:r>
          </w:p>
          <w:p w14:paraId="5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6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7000000">
            <w:pPr>
              <w:spacing w:line="302" w:lineRule="atLeast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решениями представительных органов об установлении налогов в </w:t>
            </w:r>
            <w:r>
              <w:rPr>
                <w:rFonts w:ascii="Times New Roman" w:hAnsi="Times New Roman"/>
                <w:color w:val="000000"/>
              </w:rPr>
              <w:t>Костино-Быстрянском сельском поселении</w:t>
            </w:r>
            <w:r>
              <w:rPr>
                <w:rFonts w:ascii="Times New Roman" w:hAnsi="Times New Roman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8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0,0 тыс. рублей </w:t>
            </w:r>
          </w:p>
          <w:p w14:paraId="59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 тыс. рублей</w:t>
            </w:r>
          </w:p>
          <w:p w14:paraId="5A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1,2 тыс. рублей</w:t>
            </w:r>
          </w:p>
          <w:p w14:paraId="5C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5,0 тыс. рублей</w:t>
            </w:r>
          </w:p>
          <w:p w14:paraId="5D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E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F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0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 тыс. рублей</w:t>
            </w:r>
          </w:p>
          <w:p w14:paraId="61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 тыс. рублей</w:t>
            </w:r>
          </w:p>
          <w:p w14:paraId="62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0,0 тыс. рублей</w:t>
            </w:r>
          </w:p>
          <w:p w14:paraId="6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год – 5,0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14:paraId="65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5,0 </w:t>
            </w:r>
            <w:r>
              <w:rPr>
                <w:rFonts w:ascii="Times New Roman" w:hAnsi="Times New Roman"/>
              </w:rPr>
              <w:t>тыс. рублей</w:t>
            </w:r>
          </w:p>
          <w:p w14:paraId="66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5,0 тыс. рублей</w:t>
            </w:r>
          </w:p>
          <w:p w14:paraId="67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8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9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решениями представительных органов об установлении налогов в </w:t>
            </w:r>
            <w:r>
              <w:rPr>
                <w:rFonts w:ascii="Times New Roman" w:hAnsi="Times New Roman"/>
                <w:color w:val="000000"/>
              </w:rPr>
              <w:t>Костино-Быстрянском сельском поселении</w:t>
            </w:r>
            <w:r>
              <w:rPr>
                <w:rFonts w:ascii="Times New Roman" w:hAnsi="Times New Roman"/>
              </w:rPr>
              <w:t xml:space="preserve"> (единиц)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A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C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D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объем налогов, задекларированный для уплаты в консолидированный бюджет Костино-Быстрянского сельского поселения плательщиками налогов, имеющими право на налоговые льготы, освобождения и иные преференции, установленные решениями представительных органов об установлении налогов в </w:t>
            </w:r>
            <w:r>
              <w:rPr>
                <w:rFonts w:ascii="Times New Roman" w:hAnsi="Times New Roman"/>
                <w:color w:val="000000"/>
              </w:rPr>
              <w:t>Костино-Быстрянском сельском поселении</w:t>
            </w:r>
            <w:r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E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F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333"/>
        </w:trPr>
        <w:tc>
          <w:tcPr>
            <w:tcW w:type="dxa" w:w="6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0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type="dxa" w:w="4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1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налогов, задекларированный для уплаты в консолидированный бюджет Костино-Быстрянского сельского поселения, плательщиками налогов, имеющими право на налоговые льготы, освобождения и иные преференции, установленные решениями представительных органов об установлении налогов в </w:t>
            </w:r>
            <w:r>
              <w:rPr>
                <w:rFonts w:ascii="Times New Roman" w:hAnsi="Times New Roman"/>
                <w:color w:val="000000"/>
              </w:rPr>
              <w:t>Костино-Быстрянском сельском поселении</w:t>
            </w:r>
            <w:r>
              <w:rPr>
                <w:rFonts w:ascii="Times New Roman" w:hAnsi="Times New Roman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type="dxa" w:w="49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2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 тыс. рублей</w:t>
            </w:r>
          </w:p>
          <w:p w14:paraId="7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0,0 тыс. рублей</w:t>
            </w:r>
          </w:p>
          <w:p w14:paraId="74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 xml:space="preserve"> 0,0 тыс. рублей</w:t>
            </w:r>
          </w:p>
          <w:p w14:paraId="75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</w:t>
            </w:r>
            <w:r>
              <w:rPr>
                <w:rFonts w:ascii="Times New Roman" w:hAnsi="Times New Roman"/>
              </w:rPr>
              <w:t xml:space="preserve"> 0,0 тыс. рублей</w:t>
            </w:r>
          </w:p>
          <w:p w14:paraId="76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</w:t>
            </w:r>
            <w:r>
              <w:rPr>
                <w:rFonts w:ascii="Times New Roman" w:hAnsi="Times New Roman"/>
              </w:rPr>
              <w:t xml:space="preserve"> 0,0 тыс. рублей</w:t>
            </w:r>
          </w:p>
          <w:p w14:paraId="77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 тыс. рублей</w:t>
            </w:r>
          </w:p>
          <w:p w14:paraId="78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  <w:p w14:paraId="79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451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A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0,0 тыс. рублей </w:t>
            </w:r>
          </w:p>
          <w:p w14:paraId="7B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0,0 тыс. рублей</w:t>
            </w:r>
          </w:p>
          <w:p w14:paraId="7C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 xml:space="preserve"> 0,0 тыс. рублей</w:t>
            </w:r>
          </w:p>
          <w:p w14:paraId="7D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</w:t>
            </w:r>
            <w:r>
              <w:rPr>
                <w:rFonts w:ascii="Times New Roman" w:hAnsi="Times New Roman"/>
              </w:rPr>
              <w:t xml:space="preserve"> 0,3 тыс. рублей</w:t>
            </w:r>
          </w:p>
          <w:p w14:paraId="7E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</w:t>
            </w:r>
            <w:r>
              <w:rPr>
                <w:rFonts w:ascii="Times New Roman" w:hAnsi="Times New Roman"/>
              </w:rPr>
              <w:t xml:space="preserve"> 0,3 тыс. рублей</w:t>
            </w:r>
          </w:p>
          <w:p w14:paraId="7F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 – 1,2 тыс. рублей</w:t>
            </w:r>
          </w:p>
          <w:p w14:paraId="80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</w:tr>
    </w:tbl>
    <w:p w14:paraId="81000000">
      <w:pPr>
        <w:tabs>
          <w:tab w:leader="none" w:pos="1080" w:val="left"/>
        </w:tabs>
        <w:ind/>
        <w:rPr>
          <w:rFonts w:ascii="Times New Roman" w:hAnsi="Times New Roman"/>
        </w:rPr>
      </w:pPr>
    </w:p>
    <w:sectPr>
      <w:footerReference r:id="rId2" w:type="even"/>
      <w:footerReference r:id="rId1" w:type="default"/>
      <w:pgSz w:h="11906" w:w="16838"/>
      <w:pgMar w:bottom="1079" w:footer="709" w:gutter="0" w:header="709" w:left="1134" w:right="1134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</w:rPr>
      <w:fldChar w:fldCharType="end"/>
    </w:r>
  </w:p>
  <w:p w14:paraId="01000000">
    <w:pPr>
      <w:pStyle w:val="Style_1"/>
      <w:ind/>
      <w:jc w:val="right"/>
      <w:rPr>
        <w:rFonts w:ascii="Times New Roman" w:hAnsi="Times New Roman"/>
        <w:sz w:val="20"/>
      </w:rPr>
    </w:pPr>
  </w:p>
  <w:p w14:paraId="02000000">
    <w:pPr>
      <w:pStyle w:val="Style_1"/>
      <w:rPr>
        <w:rFonts w:ascii="Times New Roman" w:hAnsi="Times New Roman"/>
      </w:rPr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</w:rPr>
      <w:fldChar w:fldCharType="end"/>
    </w:r>
  </w:p>
  <w:p w14:paraId="03000000">
    <w:pPr>
      <w:pStyle w:val="Style_1"/>
      <w:ind/>
      <w:jc w:val="right"/>
      <w:rPr>
        <w:rFonts w:ascii="Times New Roman" w:hAnsi="Times New Roman"/>
        <w:sz w:val="20"/>
      </w:rPr>
    </w:pPr>
  </w:p>
  <w:p w14:paraId="04000000">
    <w:pPr>
      <w:pStyle w:val="Style_1"/>
      <w:rPr>
        <w:rFonts w:ascii="Times New Roman" w:hAnsi="Times New Roman"/>
      </w:rPr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header"/>
    <w:basedOn w:val="Style_3"/>
    <w:link w:val="Style_4_ch"/>
    <w:pPr>
      <w:tabs>
        <w:tab w:leader="none" w:pos="4677" w:val="center"/>
        <w:tab w:leader="none" w:pos="9355" w:val="right"/>
      </w:tabs>
      <w:ind/>
      <w:jc w:val="left"/>
    </w:pPr>
  </w:style>
  <w:style w:styleId="Style_4_ch" w:type="character">
    <w:name w:val="header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consnormal"/>
    <w:basedOn w:val="Style_3"/>
    <w:link w:val="Style_8_ch"/>
    <w:pPr>
      <w:spacing w:after="75" w:before="75"/>
      <w:ind/>
      <w:jc w:val="left"/>
    </w:pPr>
    <w:rPr>
      <w:rFonts w:ascii="Arial" w:hAnsi="Arial"/>
      <w:color w:val="000000"/>
      <w:sz w:val="20"/>
    </w:rPr>
  </w:style>
  <w:style w:styleId="Style_8_ch" w:type="character">
    <w:name w:val="consnormal"/>
    <w:basedOn w:val="Style_3_ch"/>
    <w:link w:val="Style_8"/>
    <w:rPr>
      <w:rFonts w:ascii="Arial" w:hAnsi="Arial"/>
      <w:color w:val="000000"/>
      <w:sz w:val="20"/>
    </w:rPr>
  </w:style>
  <w:style w:styleId="Style_9" w:type="paragraph">
    <w:name w:val="toc 7"/>
    <w:next w:val="Style_3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Знак Знак Знак Знак"/>
    <w:basedOn w:val="Style_3"/>
    <w:link w:val="Style_13_ch"/>
    <w:pPr>
      <w:widowControl w:val="0"/>
      <w:spacing w:after="160" w:line="240" w:lineRule="exact"/>
      <w:ind/>
      <w:jc w:val="right"/>
    </w:pPr>
    <w:rPr>
      <w:sz w:val="20"/>
    </w:rPr>
  </w:style>
  <w:style w:styleId="Style_13_ch" w:type="character">
    <w:name w:val="Знак Знак Знак Знак"/>
    <w:basedOn w:val="Style_3_ch"/>
    <w:link w:val="Style_13"/>
    <w:rPr>
      <w:sz w:val="20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Balloon Text"/>
    <w:basedOn w:val="Style_3"/>
    <w:link w:val="Style_15_ch"/>
    <w:pPr>
      <w:ind/>
      <w:jc w:val="left"/>
    </w:pPr>
    <w:rPr>
      <w:sz w:val="2"/>
    </w:rPr>
  </w:style>
  <w:style w:styleId="Style_15_ch" w:type="character">
    <w:name w:val="Balloon Text"/>
    <w:basedOn w:val="Style_3_ch"/>
    <w:link w:val="Style_15"/>
    <w:rPr>
      <w:sz w:val="2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footer"/>
    <w:basedOn w:val="Style_3_ch"/>
    <w:link w:val="Style_1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ConsPlusTitle"/>
    <w:link w:val="Style_22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22_ch" w:type="character">
    <w:name w:val="ConsPlusTitle"/>
    <w:link w:val="Style_22"/>
    <w:rPr>
      <w:rFonts w:ascii="Arial" w:hAnsi="Arial"/>
      <w:b w:val="1"/>
      <w:sz w:val="20"/>
    </w:rPr>
  </w:style>
  <w:style w:styleId="Style_23" w:type="paragraph">
    <w:name w:val="toc 5"/>
    <w:next w:val="Style_3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Subtitle"/>
    <w:next w:val="Style_3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3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3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30" w:type="table">
    <w:name w:val="Table Grid"/>
    <w:basedOn w:val="Style_2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2022-08-11T12:41:45Z</dcterms:modified>
</cp:coreProperties>
</file>